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left"/>
        <w:textAlignment w:val="auto"/>
        <w:rPr>
          <w:rFonts w:hint="default" w:ascii="方正黑体_GBK" w:hAnsi="方正黑体_GBK" w:eastAsia="方正黑体_GBK" w:cs="方正黑体_GBK"/>
          <w:snapToGrid w:val="0"/>
          <w:color w:val="000000"/>
          <w:kern w:val="0"/>
          <w:sz w:val="32"/>
          <w:szCs w:val="32"/>
          <w:highlight w:val="none"/>
          <w:lang w:val="en-US" w:eastAsia="zh-CN"/>
        </w:rPr>
      </w:pPr>
      <w:r>
        <w:rPr>
          <w:rFonts w:hint="default" w:ascii="方正黑体_GBK" w:hAnsi="方正黑体_GBK" w:eastAsia="方正黑体_GBK" w:cs="方正黑体_GBK"/>
          <w:snapToGrid w:val="0"/>
          <w:color w:val="000000"/>
          <w:kern w:val="0"/>
          <w:sz w:val="32"/>
          <w:szCs w:val="32"/>
          <w:highlight w:val="none"/>
          <w:lang w:val="en-US" w:eastAsia="zh-CN"/>
        </w:rPr>
        <w:t>附件</w:t>
      </w:r>
      <w:r>
        <w:rPr>
          <w:rFonts w:hint="eastAsia" w:ascii="方正黑体_GBK" w:hAnsi="方正黑体_GBK" w:eastAsia="方正黑体_GBK" w:cs="方正黑体_GBK"/>
          <w:snapToGrid w:val="0"/>
          <w:color w:val="000000"/>
          <w:kern w:val="0"/>
          <w:sz w:val="32"/>
          <w:szCs w:val="32"/>
          <w:highlight w:val="none"/>
          <w:lang w:val="en-US" w:eastAsia="zh-CN"/>
        </w:rPr>
        <w:t>1</w:t>
      </w:r>
    </w:p>
    <w:p>
      <w:pPr>
        <w:pStyle w:val="2"/>
        <w:rPr>
          <w:rFonts w:hint="eastAsia"/>
          <w:lang w:eastAsia="zh-CN"/>
        </w:rPr>
      </w:pPr>
    </w:p>
    <w:p>
      <w:pPr>
        <w:jc w:val="center"/>
        <w:rPr>
          <w:rFonts w:ascii="Times New Roman" w:hAnsi="Times New Roman" w:eastAsia="方正小标宋简体" w:cs="Times New Roman"/>
          <w:sz w:val="44"/>
          <w:szCs w:val="44"/>
          <w:lang w:eastAsia="zh-CN"/>
        </w:rPr>
      </w:pPr>
      <w:r>
        <w:rPr>
          <w:rFonts w:ascii="Times New Roman" w:hAnsi="Times New Roman" w:eastAsia="方正小标宋简体" w:cs="Times New Roman"/>
          <w:sz w:val="44"/>
          <w:szCs w:val="44"/>
          <w:lang w:eastAsia="zh-CN"/>
        </w:rPr>
        <w:t>和平县</w:t>
      </w:r>
      <w:r>
        <w:rPr>
          <w:rFonts w:hint="eastAsia" w:ascii="Times New Roman" w:hAnsi="Times New Roman" w:eastAsia="方正小标宋简体" w:cs="Times New Roman"/>
          <w:sz w:val="44"/>
          <w:szCs w:val="44"/>
          <w:lang w:eastAsia="zh-CN"/>
        </w:rPr>
        <w:t>2023年度第十九批次</w:t>
      </w:r>
      <w:r>
        <w:rPr>
          <w:rFonts w:ascii="Times New Roman" w:hAnsi="Times New Roman" w:eastAsia="方正小标宋简体" w:cs="Times New Roman"/>
          <w:sz w:val="44"/>
          <w:szCs w:val="44"/>
          <w:lang w:eastAsia="zh-CN"/>
        </w:rPr>
        <w:t>城镇建设用地</w:t>
      </w:r>
    </w:p>
    <w:p>
      <w:pPr>
        <w:jc w:val="center"/>
        <w:rPr>
          <w:spacing w:val="-6"/>
          <w:lang w:eastAsia="zh-CN"/>
        </w:rPr>
      </w:pPr>
      <w:r>
        <w:rPr>
          <w:rFonts w:ascii="Times New Roman" w:hAnsi="Times New Roman" w:eastAsia="方正小标宋简体" w:cs="Times New Roman"/>
          <w:sz w:val="44"/>
          <w:szCs w:val="44"/>
          <w:lang w:eastAsia="zh-CN"/>
        </w:rPr>
        <w:t>征地补偿安置方案</w:t>
      </w:r>
    </w:p>
    <w:p>
      <w:pPr>
        <w:widowControl w:val="0"/>
        <w:kinsoku/>
        <w:autoSpaceDE/>
        <w:autoSpaceDN/>
        <w:adjustRightInd/>
        <w:snapToGrid/>
        <w:spacing w:line="600" w:lineRule="exact"/>
        <w:ind w:firstLine="640" w:firstLineChars="200"/>
        <w:jc w:val="both"/>
        <w:textAlignment w:val="auto"/>
        <w:rPr>
          <w:rFonts w:ascii="Times New Roman" w:hAnsi="Times New Roman" w:eastAsia="仿宋_GB2312" w:cs="Times New Roman"/>
          <w:snapToGrid/>
          <w:kern w:val="2"/>
          <w:sz w:val="32"/>
          <w:szCs w:val="32"/>
          <w:lang w:eastAsia="zh-CN"/>
        </w:rPr>
      </w:pP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eastAsia" w:ascii="Times New Roman" w:hAnsi="Times New Roman" w:eastAsia="仿宋_GB2312" w:cs="Times New Roman"/>
          <w:snapToGrid/>
          <w:kern w:val="2"/>
          <w:sz w:val="32"/>
          <w:szCs w:val="32"/>
          <w:lang w:eastAsia="zh-CN"/>
        </w:rPr>
        <w:t>为实施和平县2023年度第十九批次城镇建设，和平县人民政府拟征收和平县大坝镇、阳明镇属下的集体土地6</w:t>
      </w:r>
      <w:r>
        <w:rPr>
          <w:rFonts w:hint="eastAsia" w:ascii="Times New Roman" w:hAnsi="Times New Roman" w:eastAsia="仿宋_GB2312" w:cs="Times New Roman"/>
          <w:snapToGrid/>
          <w:kern w:val="2"/>
          <w:sz w:val="32"/>
          <w:szCs w:val="32"/>
          <w:lang w:val="en-US" w:eastAsia="zh-CN"/>
        </w:rPr>
        <w:t>.2999</w:t>
      </w:r>
      <w:r>
        <w:rPr>
          <w:rFonts w:hint="eastAsia" w:ascii="Times New Roman" w:hAnsi="Times New Roman" w:eastAsia="仿宋_GB2312" w:cs="Times New Roman"/>
          <w:snapToGrid/>
          <w:kern w:val="2"/>
          <w:sz w:val="32"/>
          <w:szCs w:val="32"/>
          <w:lang w:eastAsia="zh-CN"/>
        </w:rPr>
        <w:t>公顷。根据《中华人民共和国土地管理法》第四十七条、第四十八条，《中华人民共和国土地管理法实施条例》第二十七条、第二十八条，《广东省土地管理条例》第三十条的规定，</w:t>
      </w:r>
      <w:r>
        <w:rPr>
          <w:rFonts w:hint="default" w:ascii="Times New Roman" w:hAnsi="Times New Roman" w:eastAsia="仿宋_GB2312" w:cs="Times New Roman"/>
          <w:sz w:val="32"/>
          <w:szCs w:val="32"/>
        </w:rPr>
        <w:t>结合</w:t>
      </w:r>
      <w:r>
        <w:rPr>
          <w:rFonts w:hint="default" w:ascii="Times New Roman" w:hAnsi="Times New Roman" w:eastAsia="仿宋_GB2312" w:cs="Times New Roman"/>
          <w:sz w:val="32"/>
          <w:szCs w:val="32"/>
          <w:lang w:val="en-US" w:eastAsia="zh-CN"/>
        </w:rPr>
        <w:t>和平县</w:t>
      </w:r>
      <w:r>
        <w:rPr>
          <w:rFonts w:hint="default" w:ascii="Times New Roman" w:hAnsi="Times New Roman" w:eastAsia="仿宋_GB2312" w:cs="Times New Roman"/>
          <w:sz w:val="32"/>
          <w:szCs w:val="32"/>
        </w:rPr>
        <w:t>的征收农用地区片综合地价和实际情况，拟定了征地补偿安置方案</w:t>
      </w:r>
      <w:r>
        <w:rPr>
          <w:rFonts w:hint="default" w:ascii="Times New Roman" w:hAnsi="Times New Roman" w:eastAsia="仿宋_GB2312" w:cs="Times New Roman"/>
          <w:sz w:val="32"/>
          <w:szCs w:val="32"/>
          <w:lang w:eastAsia="zh-CN"/>
        </w:rPr>
        <w:t>。</w:t>
      </w:r>
    </w:p>
    <w:p>
      <w:pPr>
        <w:widowControl w:val="0"/>
        <w:kinsoku/>
        <w:autoSpaceDE/>
        <w:autoSpaceDN/>
        <w:adjustRightInd/>
        <w:snapToGrid/>
        <w:spacing w:line="580" w:lineRule="exact"/>
        <w:ind w:firstLine="640" w:firstLineChars="200"/>
        <w:jc w:val="both"/>
        <w:textAlignment w:val="auto"/>
        <w:rPr>
          <w:rFonts w:hint="default" w:ascii="Times New Roman" w:hAnsi="Times New Roman" w:eastAsia="黑体" w:cs="Times New Roman"/>
          <w:snapToGrid/>
          <w:kern w:val="2"/>
          <w:sz w:val="32"/>
          <w:szCs w:val="32"/>
          <w:lang w:eastAsia="zh-CN"/>
        </w:rPr>
      </w:pPr>
      <w:r>
        <w:rPr>
          <w:rFonts w:hint="default" w:ascii="Times New Roman" w:hAnsi="Times New Roman" w:eastAsia="黑体" w:cs="Times New Roman"/>
          <w:snapToGrid/>
          <w:kern w:val="2"/>
          <w:sz w:val="32"/>
          <w:szCs w:val="32"/>
          <w:lang w:eastAsia="zh-CN"/>
        </w:rPr>
        <w:t>一、征收范围</w:t>
      </w:r>
    </w:p>
    <w:p>
      <w:pPr>
        <w:widowControl w:val="0"/>
        <w:kinsoku/>
        <w:autoSpaceDE/>
        <w:autoSpaceDN/>
        <w:adjustRightInd/>
        <w:snapToGrid/>
        <w:spacing w:line="600" w:lineRule="exact"/>
        <w:ind w:firstLine="640" w:firstLineChars="200"/>
        <w:jc w:val="both"/>
        <w:textAlignment w:val="auto"/>
        <w:rPr>
          <w:rFonts w:ascii="Times New Roman" w:hAnsi="Times New Roman" w:eastAsia="仿宋_GB2312" w:cs="Times New Roman"/>
          <w:snapToGrid/>
          <w:kern w:val="2"/>
          <w:sz w:val="32"/>
          <w:szCs w:val="32"/>
          <w:lang w:eastAsia="zh-CN"/>
        </w:rPr>
      </w:pPr>
      <w:r>
        <w:rPr>
          <w:rFonts w:ascii="Times New Roman" w:hAnsi="Times New Roman" w:eastAsia="仿宋_GB2312" w:cs="Times New Roman"/>
          <w:snapToGrid/>
          <w:kern w:val="2"/>
          <w:sz w:val="32"/>
          <w:szCs w:val="32"/>
          <w:lang w:eastAsia="zh-CN"/>
        </w:rPr>
        <w:t>拟征收土地位于</w:t>
      </w:r>
      <w:r>
        <w:rPr>
          <w:rFonts w:hint="eastAsia" w:ascii="Times New Roman" w:hAnsi="Times New Roman" w:eastAsia="仿宋_GB2312" w:cs="Times New Roman"/>
          <w:snapToGrid/>
          <w:kern w:val="2"/>
          <w:sz w:val="32"/>
          <w:szCs w:val="32"/>
          <w:lang w:eastAsia="zh-CN"/>
        </w:rPr>
        <w:t>和平县阳明镇大楼村大屋经济合作社；大坝镇超田村上屋、石街经济合作社</w:t>
      </w:r>
      <w:r>
        <w:rPr>
          <w:rFonts w:ascii="Times New Roman" w:hAnsi="Times New Roman" w:eastAsia="仿宋_GB2312" w:cs="Times New Roman"/>
          <w:snapToGrid/>
          <w:kern w:val="2"/>
          <w:sz w:val="32"/>
          <w:szCs w:val="32"/>
          <w:lang w:eastAsia="zh-CN"/>
        </w:rPr>
        <w:t>范围内，具体位置详见附图。</w:t>
      </w:r>
    </w:p>
    <w:p>
      <w:pPr>
        <w:widowControl w:val="0"/>
        <w:kinsoku/>
        <w:autoSpaceDE/>
        <w:autoSpaceDN/>
        <w:adjustRightInd/>
        <w:snapToGrid/>
        <w:spacing w:line="600" w:lineRule="exact"/>
        <w:ind w:firstLine="640" w:firstLineChars="200"/>
        <w:jc w:val="both"/>
        <w:textAlignment w:val="auto"/>
        <w:rPr>
          <w:rFonts w:ascii="Times New Roman" w:hAnsi="Times New Roman" w:eastAsia="仿宋_GB2312" w:cs="Times New Roman"/>
          <w:snapToGrid/>
          <w:kern w:val="2"/>
          <w:sz w:val="32"/>
          <w:szCs w:val="32"/>
          <w:lang w:eastAsia="zh-CN"/>
        </w:rPr>
      </w:pPr>
      <w:r>
        <w:rPr>
          <w:rFonts w:ascii="Times New Roman" w:hAnsi="Times New Roman" w:eastAsia="仿宋_GB2312" w:cs="Times New Roman"/>
          <w:snapToGrid/>
          <w:kern w:val="2"/>
          <w:sz w:val="32"/>
          <w:szCs w:val="32"/>
          <w:lang w:eastAsia="zh-CN"/>
        </w:rPr>
        <w:t>实际征收土地范围以最终批准文件为准。</w:t>
      </w:r>
    </w:p>
    <w:p>
      <w:pPr>
        <w:widowControl w:val="0"/>
        <w:kinsoku/>
        <w:autoSpaceDE/>
        <w:autoSpaceDN/>
        <w:adjustRightInd/>
        <w:snapToGrid/>
        <w:spacing w:line="580" w:lineRule="exact"/>
        <w:ind w:firstLine="640" w:firstLineChars="200"/>
        <w:jc w:val="both"/>
        <w:textAlignment w:val="auto"/>
        <w:rPr>
          <w:rFonts w:hint="default" w:ascii="Times New Roman" w:hAnsi="Times New Roman" w:eastAsia="黑体" w:cs="Times New Roman"/>
          <w:snapToGrid/>
          <w:kern w:val="2"/>
          <w:sz w:val="32"/>
          <w:szCs w:val="32"/>
          <w:lang w:eastAsia="zh-CN"/>
        </w:rPr>
      </w:pPr>
      <w:r>
        <w:rPr>
          <w:rFonts w:hint="default" w:ascii="Times New Roman" w:hAnsi="Times New Roman" w:eastAsia="黑体" w:cs="Times New Roman"/>
          <w:snapToGrid/>
          <w:kern w:val="2"/>
          <w:sz w:val="32"/>
          <w:szCs w:val="32"/>
          <w:lang w:eastAsia="zh-CN"/>
        </w:rPr>
        <w:t>二、征收目的</w:t>
      </w:r>
    </w:p>
    <w:p>
      <w:pPr>
        <w:widowControl w:val="0"/>
        <w:kinsoku/>
        <w:autoSpaceDE/>
        <w:autoSpaceDN/>
        <w:adjustRightInd/>
        <w:snapToGrid/>
        <w:spacing w:line="600" w:lineRule="exact"/>
        <w:ind w:firstLine="640" w:firstLineChars="200"/>
        <w:jc w:val="both"/>
        <w:textAlignment w:val="auto"/>
        <w:rPr>
          <w:rFonts w:ascii="Times New Roman" w:hAnsi="Times New Roman" w:eastAsia="仿宋_GB2312" w:cs="Times New Roman"/>
          <w:snapToGrid/>
          <w:kern w:val="2"/>
          <w:sz w:val="32"/>
          <w:szCs w:val="32"/>
          <w:lang w:eastAsia="zh-CN"/>
        </w:rPr>
      </w:pPr>
      <w:r>
        <w:rPr>
          <w:rFonts w:hint="eastAsia" w:ascii="Times New Roman" w:hAnsi="Times New Roman" w:eastAsia="仿宋_GB2312" w:cs="Times New Roman"/>
          <w:snapToGrid/>
          <w:kern w:val="2"/>
          <w:sz w:val="32"/>
          <w:szCs w:val="32"/>
          <w:lang w:eastAsia="zh-CN"/>
        </w:rPr>
        <w:t>根据《中华人民共和国土地管理法》第四十五条的规定，本次征收土地目的为：在土地利用总体规划确定的城镇建设用地范围内，经省级以上人民政府批准由县级以上地方人民政府组织实施的成片开发建设需要用地。</w:t>
      </w:r>
    </w:p>
    <w:p>
      <w:pPr>
        <w:widowControl w:val="0"/>
        <w:kinsoku/>
        <w:autoSpaceDE/>
        <w:autoSpaceDN/>
        <w:adjustRightInd/>
        <w:snapToGrid/>
        <w:spacing w:line="580" w:lineRule="exact"/>
        <w:ind w:firstLine="640" w:firstLineChars="200"/>
        <w:jc w:val="both"/>
        <w:textAlignment w:val="auto"/>
        <w:rPr>
          <w:rFonts w:hint="default" w:ascii="Times New Roman" w:hAnsi="Times New Roman" w:eastAsia="黑体" w:cs="Times New Roman"/>
          <w:snapToGrid/>
          <w:kern w:val="2"/>
          <w:sz w:val="32"/>
          <w:szCs w:val="32"/>
          <w:lang w:eastAsia="zh-CN"/>
        </w:rPr>
      </w:pPr>
      <w:r>
        <w:rPr>
          <w:rFonts w:hint="default" w:ascii="Times New Roman" w:hAnsi="Times New Roman" w:eastAsia="黑体" w:cs="Times New Roman"/>
          <w:snapToGrid/>
          <w:kern w:val="2"/>
          <w:sz w:val="32"/>
          <w:szCs w:val="32"/>
          <w:lang w:eastAsia="zh-CN"/>
        </w:rPr>
        <w:t>三、土地现状</w:t>
      </w:r>
    </w:p>
    <w:p>
      <w:pPr>
        <w:widowControl w:val="0"/>
        <w:kinsoku/>
        <w:autoSpaceDE/>
        <w:autoSpaceDN/>
        <w:adjustRightInd/>
        <w:snapToGrid/>
        <w:spacing w:line="600" w:lineRule="exact"/>
        <w:ind w:firstLine="640" w:firstLineChars="200"/>
        <w:jc w:val="both"/>
        <w:textAlignment w:val="auto"/>
        <w:rPr>
          <w:rFonts w:ascii="Times New Roman" w:hAnsi="Times New Roman" w:eastAsia="仿宋_GB2312" w:cs="Times New Roman"/>
          <w:snapToGrid/>
          <w:kern w:val="2"/>
          <w:sz w:val="32"/>
          <w:szCs w:val="32"/>
          <w:lang w:eastAsia="zh-CN"/>
        </w:rPr>
      </w:pPr>
      <w:r>
        <w:rPr>
          <w:rFonts w:ascii="Times New Roman" w:hAnsi="Times New Roman" w:eastAsia="仿宋_GB2312" w:cs="Times New Roman"/>
          <w:snapToGrid/>
          <w:kern w:val="2"/>
          <w:sz w:val="32"/>
          <w:szCs w:val="32"/>
          <w:lang w:eastAsia="zh-CN"/>
        </w:rPr>
        <w:t>根据拟征收土地现状调查结果，拟征收土地现状为：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eastAsia="zh-CN"/>
        </w:rPr>
        <w:t>1.拟征收和平县阳明镇大楼村大屋经济合作社农民集体所有土地3.9941公顷（59.9115亩）。其中，农用地3.9941公顷（59.9115亩），含耕地0.0013公顷（0.0195亩）；</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val="en-US" w:eastAsia="zh-CN"/>
        </w:rPr>
        <w:t>2.</w:t>
      </w:r>
      <w:r>
        <w:rPr>
          <w:rFonts w:hint="default" w:ascii="Times New Roman" w:hAnsi="Times New Roman" w:eastAsia="仿宋_GB2312" w:cs="Times New Roman"/>
          <w:snapToGrid/>
          <w:kern w:val="2"/>
          <w:sz w:val="32"/>
          <w:szCs w:val="32"/>
          <w:lang w:eastAsia="zh-CN"/>
        </w:rPr>
        <w:t>拟征收和平县大坝镇超田村上屋经济合作社农民集体所有土地0.5109公顷（7.6635亩）。其中，农用地0.5109公顷（7.6635亩），含耕地0公顷（0亩）；</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val="en-US" w:eastAsia="zh-CN"/>
        </w:rPr>
        <w:t>3</w:t>
      </w:r>
      <w:r>
        <w:rPr>
          <w:rFonts w:hint="default" w:ascii="Times New Roman" w:hAnsi="Times New Roman" w:eastAsia="仿宋_GB2312" w:cs="Times New Roman"/>
          <w:snapToGrid/>
          <w:kern w:val="2"/>
          <w:sz w:val="32"/>
          <w:szCs w:val="32"/>
          <w:lang w:eastAsia="zh-CN"/>
        </w:rPr>
        <w:t>.和平县大坝镇超田村石街经济合作社农民集体所有土地1.7949公顷（26.9235亩）。其中，农用地1.7949公顷（26.9235亩），含耕地0.5360公顷（8.0400亩）。</w:t>
      </w:r>
    </w:p>
    <w:p>
      <w:pPr>
        <w:widowControl w:val="0"/>
        <w:kinsoku/>
        <w:autoSpaceDE/>
        <w:autoSpaceDN/>
        <w:adjustRightInd/>
        <w:snapToGrid/>
        <w:spacing w:line="580" w:lineRule="exact"/>
        <w:ind w:firstLine="640" w:firstLineChars="200"/>
        <w:jc w:val="both"/>
        <w:textAlignment w:val="auto"/>
        <w:rPr>
          <w:rFonts w:hint="default" w:ascii="Times New Roman" w:hAnsi="Times New Roman" w:eastAsia="黑体" w:cs="Times New Roman"/>
          <w:snapToGrid/>
          <w:kern w:val="2"/>
          <w:sz w:val="32"/>
          <w:szCs w:val="32"/>
          <w:lang w:eastAsia="zh-CN"/>
        </w:rPr>
      </w:pPr>
      <w:r>
        <w:rPr>
          <w:rFonts w:hint="default" w:ascii="Times New Roman" w:hAnsi="Times New Roman" w:eastAsia="黑体" w:cs="Times New Roman"/>
          <w:snapToGrid/>
          <w:kern w:val="2"/>
          <w:sz w:val="32"/>
          <w:szCs w:val="32"/>
          <w:lang w:eastAsia="zh-CN"/>
        </w:rPr>
        <w:t>四、补偿方式和标准</w:t>
      </w:r>
    </w:p>
    <w:p>
      <w:pPr>
        <w:keepNext w:val="0"/>
        <w:keepLines w:val="0"/>
        <w:pageBreakBefore w:val="0"/>
        <w:widowControl w:val="0"/>
        <w:kinsoku/>
        <w:overflowPunct/>
        <w:topLinePunct w:val="0"/>
        <w:autoSpaceDE/>
        <w:autoSpaceDN/>
        <w:bidi w:val="0"/>
        <w:adjustRightInd/>
        <w:snapToGrid/>
        <w:spacing w:line="590" w:lineRule="exact"/>
        <w:ind w:firstLine="640" w:firstLineChars="200"/>
        <w:jc w:val="both"/>
        <w:textAlignment w:val="auto"/>
        <w:rPr>
          <w:rFonts w:ascii="Times New Roman" w:hAnsi="Times New Roman" w:eastAsia="楷体_GB2312" w:cs="Times New Roman"/>
          <w:snapToGrid/>
          <w:kern w:val="2"/>
          <w:sz w:val="32"/>
          <w:szCs w:val="32"/>
          <w:lang w:eastAsia="zh-CN"/>
        </w:rPr>
      </w:pPr>
      <w:r>
        <w:rPr>
          <w:rFonts w:ascii="Times New Roman" w:hAnsi="Times New Roman" w:eastAsia="楷体_GB2312" w:cs="Times New Roman"/>
          <w:snapToGrid/>
          <w:kern w:val="2"/>
          <w:sz w:val="32"/>
          <w:szCs w:val="32"/>
          <w:lang w:eastAsia="zh-CN"/>
        </w:rPr>
        <w:t>（一）土地补偿费和安置补助费标准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eastAsia="zh-CN"/>
        </w:rPr>
        <w:t>根据《河源市人民政府关于公布实施征收农用地区片综合地价的公告》（河府〔202</w:t>
      </w:r>
      <w:r>
        <w:rPr>
          <w:rFonts w:hint="eastAsia" w:ascii="Times New Roman" w:hAnsi="Times New Roman" w:eastAsia="仿宋_GB2312" w:cs="Times New Roman"/>
          <w:snapToGrid/>
          <w:kern w:val="2"/>
          <w:sz w:val="32"/>
          <w:szCs w:val="32"/>
          <w:lang w:eastAsia="zh-CN"/>
        </w:rPr>
        <w:t>4</w:t>
      </w:r>
      <w:r>
        <w:rPr>
          <w:rFonts w:hint="default" w:ascii="Times New Roman" w:hAnsi="Times New Roman" w:eastAsia="仿宋_GB2312" w:cs="Times New Roman"/>
          <w:snapToGrid/>
          <w:kern w:val="2"/>
          <w:sz w:val="32"/>
          <w:szCs w:val="32"/>
          <w:lang w:eastAsia="zh-CN"/>
        </w:rPr>
        <w:t>〕1</w:t>
      </w:r>
      <w:r>
        <w:rPr>
          <w:rFonts w:hint="eastAsia" w:ascii="Times New Roman" w:hAnsi="Times New Roman" w:eastAsia="仿宋_GB2312" w:cs="Times New Roman"/>
          <w:snapToGrid/>
          <w:kern w:val="2"/>
          <w:sz w:val="32"/>
          <w:szCs w:val="32"/>
          <w:lang w:eastAsia="zh-CN"/>
        </w:rPr>
        <w:t>2</w:t>
      </w:r>
      <w:r>
        <w:rPr>
          <w:rFonts w:hint="default" w:ascii="Times New Roman" w:hAnsi="Times New Roman" w:eastAsia="仿宋_GB2312" w:cs="Times New Roman"/>
          <w:snapToGrid/>
          <w:kern w:val="2"/>
          <w:sz w:val="32"/>
          <w:szCs w:val="32"/>
          <w:lang w:eastAsia="zh-CN"/>
        </w:rPr>
        <w:t>号）的规定，</w:t>
      </w:r>
      <w:r>
        <w:rPr>
          <w:rFonts w:hint="eastAsia" w:ascii="Times New Roman" w:hAnsi="Times New Roman" w:eastAsia="仿宋_GB2312" w:cs="Times New Roman"/>
          <w:snapToGrid/>
          <w:kern w:val="2"/>
          <w:sz w:val="32"/>
          <w:szCs w:val="32"/>
          <w:lang w:eastAsia="zh-CN"/>
        </w:rPr>
        <w:t>阳明镇</w:t>
      </w:r>
      <w:r>
        <w:rPr>
          <w:rFonts w:hint="default" w:ascii="Times New Roman" w:hAnsi="Times New Roman" w:eastAsia="仿宋_GB2312" w:cs="Times New Roman"/>
          <w:snapToGrid/>
          <w:kern w:val="2"/>
          <w:sz w:val="32"/>
          <w:szCs w:val="32"/>
          <w:lang w:eastAsia="zh-CN"/>
        </w:rPr>
        <w:t>土地补偿费标准为</w:t>
      </w:r>
      <w:bookmarkStart w:id="0" w:name="_Hlk176450449"/>
      <w:r>
        <w:rPr>
          <w:rFonts w:hint="eastAsia" w:ascii="Times New Roman" w:hAnsi="Times New Roman" w:eastAsia="仿宋_GB2312" w:cs="Times New Roman"/>
          <w:snapToGrid/>
          <w:kern w:val="2"/>
          <w:sz w:val="32"/>
          <w:szCs w:val="32"/>
          <w:lang w:eastAsia="zh-CN"/>
        </w:rPr>
        <w:t>36.2250</w:t>
      </w:r>
      <w:r>
        <w:rPr>
          <w:rFonts w:hint="default" w:ascii="Times New Roman" w:hAnsi="Times New Roman" w:eastAsia="仿宋_GB2312" w:cs="Times New Roman"/>
          <w:snapToGrid/>
          <w:kern w:val="2"/>
          <w:sz w:val="32"/>
          <w:szCs w:val="32"/>
          <w:lang w:eastAsia="zh-CN"/>
        </w:rPr>
        <w:t>万元/公顷</w:t>
      </w:r>
      <w:bookmarkEnd w:id="0"/>
      <w:r>
        <w:rPr>
          <w:rFonts w:hint="default" w:ascii="Times New Roman" w:hAnsi="Times New Roman" w:eastAsia="仿宋_GB2312" w:cs="Times New Roman"/>
          <w:snapToGrid/>
          <w:kern w:val="2"/>
          <w:sz w:val="32"/>
          <w:szCs w:val="32"/>
          <w:lang w:eastAsia="zh-CN"/>
        </w:rPr>
        <w:t>，安置补助费标准为</w:t>
      </w:r>
      <w:r>
        <w:rPr>
          <w:rFonts w:hint="eastAsia" w:ascii="Times New Roman" w:hAnsi="Times New Roman" w:eastAsia="仿宋_GB2312" w:cs="Times New Roman"/>
          <w:snapToGrid/>
          <w:kern w:val="2"/>
          <w:sz w:val="32"/>
          <w:szCs w:val="32"/>
          <w:lang w:eastAsia="zh-CN"/>
        </w:rPr>
        <w:t>36.2250</w:t>
      </w:r>
      <w:r>
        <w:rPr>
          <w:rFonts w:hint="default" w:ascii="Times New Roman" w:hAnsi="Times New Roman" w:eastAsia="仿宋_GB2312" w:cs="Times New Roman"/>
          <w:snapToGrid/>
          <w:kern w:val="2"/>
          <w:sz w:val="32"/>
          <w:szCs w:val="32"/>
          <w:lang w:eastAsia="zh-CN"/>
        </w:rPr>
        <w:t>万元/公顷</w:t>
      </w:r>
      <w:r>
        <w:rPr>
          <w:rFonts w:hint="eastAsia" w:ascii="Times New Roman" w:hAnsi="Times New Roman" w:eastAsia="仿宋_GB2312" w:cs="Times New Roman"/>
          <w:snapToGrid/>
          <w:kern w:val="2"/>
          <w:sz w:val="32"/>
          <w:szCs w:val="32"/>
          <w:lang w:eastAsia="zh-CN"/>
        </w:rPr>
        <w:t>；大坝镇</w:t>
      </w:r>
      <w:r>
        <w:rPr>
          <w:rFonts w:hint="default" w:ascii="Times New Roman" w:hAnsi="Times New Roman" w:eastAsia="仿宋_GB2312" w:cs="Times New Roman"/>
          <w:snapToGrid/>
          <w:kern w:val="2"/>
          <w:sz w:val="32"/>
          <w:szCs w:val="32"/>
          <w:lang w:eastAsia="zh-CN"/>
        </w:rPr>
        <w:t>土地补偿费标准为</w:t>
      </w:r>
      <w:r>
        <w:rPr>
          <w:rFonts w:hint="eastAsia" w:ascii="Times New Roman" w:hAnsi="Times New Roman" w:eastAsia="仿宋_GB2312" w:cs="Times New Roman"/>
          <w:snapToGrid/>
          <w:kern w:val="2"/>
          <w:sz w:val="32"/>
          <w:szCs w:val="32"/>
          <w:lang w:eastAsia="zh-CN"/>
        </w:rPr>
        <w:t>32.6250</w:t>
      </w:r>
      <w:r>
        <w:rPr>
          <w:rFonts w:hint="default" w:ascii="Times New Roman" w:hAnsi="Times New Roman" w:eastAsia="仿宋_GB2312" w:cs="Times New Roman"/>
          <w:snapToGrid/>
          <w:kern w:val="2"/>
          <w:sz w:val="32"/>
          <w:szCs w:val="32"/>
          <w:lang w:eastAsia="zh-CN"/>
        </w:rPr>
        <w:t>万元/公顷，安置补助费标准为</w:t>
      </w:r>
      <w:r>
        <w:rPr>
          <w:rFonts w:hint="eastAsia" w:ascii="Times New Roman" w:hAnsi="Times New Roman" w:eastAsia="仿宋_GB2312" w:cs="Times New Roman"/>
          <w:snapToGrid/>
          <w:kern w:val="2"/>
          <w:sz w:val="32"/>
          <w:szCs w:val="32"/>
          <w:lang w:eastAsia="zh-CN"/>
        </w:rPr>
        <w:t>32.6250</w:t>
      </w:r>
      <w:r>
        <w:rPr>
          <w:rFonts w:hint="default" w:ascii="Times New Roman" w:hAnsi="Times New Roman" w:eastAsia="仿宋_GB2312" w:cs="Times New Roman"/>
          <w:snapToGrid/>
          <w:kern w:val="2"/>
          <w:sz w:val="32"/>
          <w:szCs w:val="32"/>
          <w:lang w:eastAsia="zh-CN"/>
        </w:rPr>
        <w:t>万元/公顷（林地和未利用地参照征收农用地区片综合地价设定调节系数0.4执行）。</w:t>
      </w:r>
    </w:p>
    <w:p>
      <w:pPr>
        <w:keepNext w:val="0"/>
        <w:keepLines w:val="0"/>
        <w:pageBreakBefore w:val="0"/>
        <w:widowControl w:val="0"/>
        <w:kinsoku/>
        <w:overflowPunct/>
        <w:topLinePunct w:val="0"/>
        <w:autoSpaceDE/>
        <w:autoSpaceDN/>
        <w:bidi w:val="0"/>
        <w:adjustRightInd/>
        <w:snapToGrid/>
        <w:spacing w:line="590" w:lineRule="exact"/>
        <w:ind w:firstLine="640" w:firstLineChars="200"/>
        <w:jc w:val="both"/>
        <w:textAlignment w:val="auto"/>
        <w:rPr>
          <w:rFonts w:ascii="Times New Roman" w:hAnsi="Times New Roman" w:eastAsia="楷体_GB2312" w:cs="Times New Roman"/>
          <w:snapToGrid/>
          <w:kern w:val="2"/>
          <w:sz w:val="32"/>
          <w:szCs w:val="32"/>
          <w:lang w:eastAsia="zh-CN"/>
        </w:rPr>
      </w:pPr>
      <w:r>
        <w:rPr>
          <w:rFonts w:ascii="Times New Roman" w:hAnsi="Times New Roman" w:eastAsia="楷体_GB2312" w:cs="Times New Roman"/>
          <w:snapToGrid/>
          <w:kern w:val="2"/>
          <w:sz w:val="32"/>
          <w:szCs w:val="32"/>
          <w:lang w:eastAsia="zh-CN"/>
        </w:rPr>
        <w:t>（二）农村村民住宅补偿</w:t>
      </w:r>
    </w:p>
    <w:p>
      <w:pPr>
        <w:widowControl w:val="0"/>
        <w:kinsoku/>
        <w:autoSpaceDE/>
        <w:autoSpaceDN/>
        <w:adjustRightInd/>
        <w:snapToGrid/>
        <w:spacing w:line="600" w:lineRule="exact"/>
        <w:ind w:firstLine="640" w:firstLineChars="200"/>
        <w:jc w:val="both"/>
        <w:textAlignment w:val="auto"/>
        <w:rPr>
          <w:rFonts w:ascii="Times New Roman" w:hAnsi="Times New Roman" w:eastAsia="仿宋_GB2312" w:cs="Times New Roman"/>
          <w:snapToGrid/>
          <w:kern w:val="2"/>
          <w:sz w:val="32"/>
          <w:szCs w:val="32"/>
          <w:lang w:eastAsia="zh-CN"/>
        </w:rPr>
      </w:pPr>
      <w:r>
        <w:rPr>
          <w:rFonts w:ascii="Times New Roman" w:hAnsi="Times New Roman" w:eastAsia="仿宋_GB2312" w:cs="Times New Roman"/>
          <w:snapToGrid/>
          <w:kern w:val="2"/>
          <w:sz w:val="32"/>
          <w:szCs w:val="32"/>
          <w:lang w:eastAsia="zh-CN"/>
        </w:rPr>
        <w:t>本项目不涉及农村村民住宅补偿。</w:t>
      </w:r>
    </w:p>
    <w:p>
      <w:pPr>
        <w:keepNext w:val="0"/>
        <w:keepLines w:val="0"/>
        <w:pageBreakBefore w:val="0"/>
        <w:widowControl w:val="0"/>
        <w:kinsoku/>
        <w:overflowPunct/>
        <w:topLinePunct w:val="0"/>
        <w:autoSpaceDE/>
        <w:autoSpaceDN/>
        <w:bidi w:val="0"/>
        <w:adjustRightInd/>
        <w:snapToGrid/>
        <w:spacing w:line="590" w:lineRule="exact"/>
        <w:ind w:firstLine="640" w:firstLineChars="200"/>
        <w:jc w:val="both"/>
        <w:textAlignment w:val="auto"/>
        <w:rPr>
          <w:rFonts w:ascii="Times New Roman" w:hAnsi="Times New Roman" w:eastAsia="楷体_GB2312" w:cs="Times New Roman"/>
          <w:snapToGrid/>
          <w:kern w:val="2"/>
          <w:sz w:val="32"/>
          <w:szCs w:val="32"/>
          <w:lang w:eastAsia="zh-CN"/>
        </w:rPr>
      </w:pPr>
      <w:r>
        <w:rPr>
          <w:rFonts w:ascii="Times New Roman" w:hAnsi="Times New Roman" w:eastAsia="楷体_GB2312" w:cs="Times New Roman"/>
          <w:snapToGrid/>
          <w:kern w:val="2"/>
          <w:sz w:val="32"/>
          <w:szCs w:val="32"/>
          <w:lang w:eastAsia="zh-CN"/>
        </w:rPr>
        <w:t>（三）青苗及其他地上附着物补偿</w:t>
      </w:r>
    </w:p>
    <w:p>
      <w:pPr>
        <w:widowControl w:val="0"/>
        <w:kinsoku/>
        <w:autoSpaceDE/>
        <w:autoSpaceDN/>
        <w:adjustRightInd/>
        <w:snapToGrid/>
        <w:spacing w:line="600" w:lineRule="exact"/>
        <w:ind w:firstLine="640" w:firstLineChars="200"/>
        <w:jc w:val="both"/>
        <w:textAlignment w:val="auto"/>
        <w:rPr>
          <w:rFonts w:ascii="Times New Roman" w:hAnsi="Times New Roman" w:eastAsia="仿宋_GB2312" w:cs="Times New Roman"/>
          <w:snapToGrid/>
          <w:kern w:val="2"/>
          <w:sz w:val="32"/>
          <w:szCs w:val="32"/>
          <w:lang w:eastAsia="zh-CN"/>
        </w:rPr>
      </w:pPr>
      <w:r>
        <w:rPr>
          <w:rFonts w:ascii="Times New Roman" w:hAnsi="Times New Roman" w:eastAsia="仿宋_GB2312" w:cs="Times New Roman"/>
          <w:snapToGrid/>
          <w:kern w:val="2"/>
          <w:sz w:val="32"/>
          <w:szCs w:val="32"/>
          <w:lang w:eastAsia="zh-CN"/>
        </w:rPr>
        <w:t>青苗补偿和其他地上附着物补偿按《赣深高铁（和平段）建设征地补偿安置方案》的规定执行。</w:t>
      </w:r>
    </w:p>
    <w:p>
      <w:pPr>
        <w:widowControl w:val="0"/>
        <w:kinsoku/>
        <w:autoSpaceDE/>
        <w:autoSpaceDN/>
        <w:adjustRightInd/>
        <w:snapToGrid/>
        <w:spacing w:line="580" w:lineRule="exact"/>
        <w:ind w:firstLine="640" w:firstLineChars="200"/>
        <w:jc w:val="both"/>
        <w:textAlignment w:val="auto"/>
        <w:rPr>
          <w:rFonts w:hint="default" w:ascii="Times New Roman" w:hAnsi="Times New Roman" w:eastAsia="黑体" w:cs="Times New Roman"/>
          <w:snapToGrid/>
          <w:kern w:val="2"/>
          <w:sz w:val="32"/>
          <w:szCs w:val="32"/>
          <w:lang w:eastAsia="zh-CN"/>
        </w:rPr>
      </w:pPr>
      <w:r>
        <w:rPr>
          <w:rFonts w:hint="default" w:ascii="Times New Roman" w:hAnsi="Times New Roman" w:eastAsia="黑体" w:cs="Times New Roman"/>
          <w:snapToGrid/>
          <w:kern w:val="2"/>
          <w:sz w:val="32"/>
          <w:szCs w:val="32"/>
          <w:lang w:eastAsia="zh-CN"/>
        </w:rPr>
        <w:t>五、安置对象</w:t>
      </w:r>
    </w:p>
    <w:p>
      <w:pPr>
        <w:widowControl w:val="0"/>
        <w:kinsoku/>
        <w:autoSpaceDE/>
        <w:autoSpaceDN/>
        <w:adjustRightInd/>
        <w:snapToGrid/>
        <w:spacing w:line="600" w:lineRule="exact"/>
        <w:ind w:firstLine="640" w:firstLineChars="200"/>
        <w:jc w:val="both"/>
        <w:textAlignment w:val="auto"/>
        <w:rPr>
          <w:rFonts w:ascii="Times New Roman" w:hAnsi="Times New Roman" w:eastAsia="仿宋_GB2312" w:cs="Times New Roman"/>
          <w:snapToGrid/>
          <w:kern w:val="2"/>
          <w:sz w:val="32"/>
          <w:szCs w:val="32"/>
          <w:lang w:eastAsia="zh-CN"/>
        </w:rPr>
      </w:pPr>
      <w:r>
        <w:rPr>
          <w:rFonts w:ascii="Times New Roman" w:hAnsi="Times New Roman" w:eastAsia="仿宋_GB2312" w:cs="Times New Roman"/>
          <w:snapToGrid/>
          <w:kern w:val="2"/>
          <w:sz w:val="32"/>
          <w:szCs w:val="32"/>
          <w:lang w:eastAsia="zh-CN"/>
        </w:rPr>
        <w:t>享有农村集体土地承包权的农户，家庭承包的土地被政府依法统一征收的，其征地安置补偿方案制定时属于农村集体经济组织成员且年满16周岁以上的家庭成员，纳入征地社保费补贴对象范围。农村集体经济组织另有规定的，可从其规定。不满16周岁的安置人员不作为被征地农民参加城乡社会保障，其本人的安置补助费由县级以上人民政府按规定足额支付。</w:t>
      </w:r>
    </w:p>
    <w:p>
      <w:pPr>
        <w:widowControl w:val="0"/>
        <w:kinsoku/>
        <w:autoSpaceDE/>
        <w:autoSpaceDN/>
        <w:adjustRightInd/>
        <w:snapToGrid/>
        <w:spacing w:line="580" w:lineRule="exact"/>
        <w:ind w:firstLine="640" w:firstLineChars="200"/>
        <w:jc w:val="both"/>
        <w:textAlignment w:val="auto"/>
        <w:rPr>
          <w:rFonts w:hint="default" w:ascii="Times New Roman" w:hAnsi="Times New Roman" w:eastAsia="黑体" w:cs="Times New Roman"/>
          <w:snapToGrid/>
          <w:kern w:val="2"/>
          <w:sz w:val="32"/>
          <w:szCs w:val="32"/>
          <w:lang w:eastAsia="zh-CN"/>
        </w:rPr>
      </w:pPr>
      <w:r>
        <w:rPr>
          <w:rFonts w:hint="default" w:ascii="Times New Roman" w:hAnsi="Times New Roman" w:eastAsia="黑体" w:cs="Times New Roman"/>
          <w:snapToGrid/>
          <w:kern w:val="2"/>
          <w:sz w:val="32"/>
          <w:szCs w:val="32"/>
          <w:lang w:eastAsia="zh-CN"/>
        </w:rPr>
        <w:t>六、安置方式和社会保障</w:t>
      </w:r>
    </w:p>
    <w:p>
      <w:pPr>
        <w:widowControl w:val="0"/>
        <w:kinsoku/>
        <w:autoSpaceDE/>
        <w:autoSpaceDN/>
        <w:adjustRightInd/>
        <w:snapToGrid/>
        <w:spacing w:line="600" w:lineRule="exact"/>
        <w:ind w:firstLine="640" w:firstLineChars="200"/>
        <w:jc w:val="both"/>
        <w:textAlignment w:val="auto"/>
        <w:rPr>
          <w:rFonts w:ascii="Times New Roman" w:hAnsi="Times New Roman" w:eastAsia="仿宋_GB2312" w:cs="Times New Roman"/>
          <w:snapToGrid/>
          <w:kern w:val="2"/>
          <w:sz w:val="32"/>
          <w:szCs w:val="32"/>
          <w:lang w:eastAsia="zh-CN"/>
        </w:rPr>
      </w:pPr>
      <w:r>
        <w:rPr>
          <w:rFonts w:ascii="Times New Roman" w:hAnsi="Times New Roman" w:eastAsia="楷体_GB2312" w:cs="Times New Roman"/>
          <w:snapToGrid/>
          <w:kern w:val="2"/>
          <w:sz w:val="32"/>
          <w:szCs w:val="32"/>
          <w:lang w:eastAsia="zh-CN"/>
        </w:rPr>
        <w:t>（一）货币安置。</w:t>
      </w:r>
      <w:r>
        <w:rPr>
          <w:rFonts w:ascii="Times New Roman" w:hAnsi="Times New Roman" w:eastAsia="仿宋_GB2312" w:cs="Times New Roman"/>
          <w:snapToGrid/>
          <w:kern w:val="2"/>
          <w:sz w:val="32"/>
          <w:szCs w:val="32"/>
          <w:lang w:eastAsia="zh-CN"/>
        </w:rPr>
        <w:t>所需费用已包含在土地补偿安置费中。</w:t>
      </w:r>
    </w:p>
    <w:p>
      <w:pPr>
        <w:widowControl w:val="0"/>
        <w:kinsoku/>
        <w:autoSpaceDE/>
        <w:autoSpaceDN/>
        <w:adjustRightInd/>
        <w:snapToGrid/>
        <w:spacing w:line="600" w:lineRule="exact"/>
        <w:ind w:firstLine="640" w:firstLineChars="200"/>
        <w:jc w:val="both"/>
        <w:textAlignment w:val="auto"/>
        <w:rPr>
          <w:rFonts w:ascii="Times New Roman" w:hAnsi="Times New Roman" w:eastAsia="仿宋_GB2312" w:cs="Times New Roman"/>
          <w:snapToGrid/>
          <w:kern w:val="2"/>
          <w:sz w:val="32"/>
          <w:szCs w:val="32"/>
          <w:lang w:eastAsia="zh-CN"/>
        </w:rPr>
      </w:pPr>
      <w:r>
        <w:rPr>
          <w:rFonts w:ascii="Times New Roman" w:hAnsi="Times New Roman" w:eastAsia="楷体_GB2312" w:cs="Times New Roman"/>
          <w:snapToGrid/>
          <w:kern w:val="2"/>
          <w:sz w:val="32"/>
          <w:szCs w:val="32"/>
          <w:lang w:eastAsia="zh-CN"/>
        </w:rPr>
        <w:t>（二）留用地安置。</w:t>
      </w:r>
      <w:r>
        <w:rPr>
          <w:rFonts w:ascii="Times New Roman" w:hAnsi="Times New Roman" w:eastAsia="仿宋_GB2312" w:cs="Times New Roman"/>
          <w:snapToGrid/>
          <w:kern w:val="2"/>
          <w:sz w:val="32"/>
          <w:szCs w:val="32"/>
          <w:lang w:eastAsia="zh-CN"/>
        </w:rPr>
        <w:t>根据《广东省人民政府办公厅关于加强征收农村集体土地留用地安置管理工作的意见》（粤府办〔2016〕30号）的规定，按实际征收土地面积的10%安排留用地，留用地兑现方式为折算货币补偿，补偿标准为150万元</w:t>
      </w:r>
      <w:r>
        <w:rPr>
          <w:rFonts w:hint="eastAsia" w:ascii="Times New Roman" w:hAnsi="Times New Roman" w:eastAsia="仿宋_GB2312" w:cs="Times New Roman"/>
          <w:snapToGrid/>
          <w:kern w:val="2"/>
          <w:sz w:val="32"/>
          <w:szCs w:val="32"/>
          <w:lang w:eastAsia="zh-CN"/>
        </w:rPr>
        <w:t>/</w:t>
      </w:r>
      <w:r>
        <w:rPr>
          <w:rFonts w:ascii="Times New Roman" w:hAnsi="Times New Roman" w:eastAsia="仿宋_GB2312" w:cs="Times New Roman"/>
          <w:snapToGrid/>
          <w:kern w:val="2"/>
          <w:sz w:val="32"/>
          <w:szCs w:val="32"/>
          <w:lang w:eastAsia="zh-CN"/>
        </w:rPr>
        <w:t>公顷。</w:t>
      </w:r>
    </w:p>
    <w:p>
      <w:pPr>
        <w:widowControl w:val="0"/>
        <w:kinsoku/>
        <w:autoSpaceDE/>
        <w:autoSpaceDN/>
        <w:adjustRightInd/>
        <w:snapToGrid/>
        <w:spacing w:line="600" w:lineRule="exact"/>
        <w:ind w:firstLine="640" w:firstLineChars="200"/>
        <w:jc w:val="both"/>
        <w:textAlignment w:val="auto"/>
        <w:rPr>
          <w:rFonts w:ascii="Times New Roman" w:hAnsi="Times New Roman" w:eastAsia="仿宋_GB2312" w:cs="Times New Roman"/>
          <w:snapToGrid/>
          <w:kern w:val="2"/>
          <w:sz w:val="32"/>
          <w:szCs w:val="32"/>
          <w:lang w:eastAsia="zh-CN"/>
        </w:rPr>
      </w:pPr>
      <w:r>
        <w:rPr>
          <w:rFonts w:ascii="Times New Roman" w:hAnsi="Times New Roman" w:eastAsia="楷体_GB2312" w:cs="Times New Roman"/>
          <w:snapToGrid/>
          <w:kern w:val="2"/>
          <w:sz w:val="32"/>
          <w:szCs w:val="32"/>
          <w:lang w:eastAsia="zh-CN"/>
        </w:rPr>
        <w:t>（三）社会保障费用。</w:t>
      </w:r>
      <w:r>
        <w:rPr>
          <w:rFonts w:hint="default" w:ascii="Times New Roman" w:hAnsi="Times New Roman" w:eastAsia="仿宋_GB2312" w:cs="Times New Roman"/>
          <w:snapToGrid/>
          <w:kern w:val="2"/>
          <w:sz w:val="32"/>
          <w:szCs w:val="32"/>
          <w:lang w:eastAsia="zh-CN"/>
        </w:rPr>
        <w:t>根据《广东省人民政府办公厅转发省人力资源社会保障厅关于进一步完</w:t>
      </w:r>
      <w:bookmarkStart w:id="1" w:name="_GoBack"/>
      <w:bookmarkEnd w:id="1"/>
      <w:r>
        <w:rPr>
          <w:rFonts w:hint="default" w:ascii="Times New Roman" w:hAnsi="Times New Roman" w:eastAsia="仿宋_GB2312" w:cs="Times New Roman"/>
          <w:snapToGrid/>
          <w:kern w:val="2"/>
          <w:sz w:val="32"/>
          <w:szCs w:val="32"/>
          <w:lang w:eastAsia="zh-CN"/>
        </w:rPr>
        <w:t>善我省被征地农民养老保障政策意见的通知》（粤府办〔2021〕22号）、《</w:t>
      </w:r>
      <w:r>
        <w:rPr>
          <w:rFonts w:hint="default" w:ascii="Times New Roman" w:hAnsi="Times New Roman" w:eastAsia="仿宋_GB2312" w:cs="Times New Roman"/>
          <w:snapToGrid/>
          <w:kern w:val="2"/>
          <w:sz w:val="32"/>
          <w:szCs w:val="32"/>
          <w:lang w:val="en-US" w:eastAsia="zh-CN"/>
        </w:rPr>
        <w:t>河源市人民政府办公室关于进一步完善我市被征地农民养老保障政策的通知</w:t>
      </w:r>
      <w:r>
        <w:rPr>
          <w:rFonts w:hint="default" w:ascii="Times New Roman" w:hAnsi="Times New Roman" w:eastAsia="仿宋_GB2312" w:cs="Times New Roman"/>
          <w:snapToGrid/>
          <w:kern w:val="2"/>
          <w:sz w:val="32"/>
          <w:szCs w:val="32"/>
          <w:lang w:eastAsia="zh-CN"/>
        </w:rPr>
        <w:t>》（</w:t>
      </w:r>
      <w:r>
        <w:rPr>
          <w:rFonts w:hint="default" w:ascii="Times New Roman" w:hAnsi="Times New Roman" w:eastAsia="仿宋_GB2312" w:cs="Times New Roman"/>
          <w:snapToGrid/>
          <w:kern w:val="2"/>
          <w:sz w:val="32"/>
          <w:szCs w:val="32"/>
          <w:lang w:val="en-US" w:eastAsia="zh-CN"/>
        </w:rPr>
        <w:t>河府办</w:t>
      </w:r>
      <w:r>
        <w:rPr>
          <w:rFonts w:hint="default" w:ascii="Times New Roman" w:hAnsi="Times New Roman" w:eastAsia="仿宋_GB2312" w:cs="Times New Roman"/>
          <w:snapToGrid/>
          <w:kern w:val="2"/>
          <w:sz w:val="32"/>
          <w:szCs w:val="32"/>
          <w:lang w:eastAsia="zh-CN"/>
        </w:rPr>
        <w:t>〔2021〕2</w:t>
      </w:r>
      <w:r>
        <w:rPr>
          <w:rFonts w:hint="default" w:ascii="Times New Roman" w:hAnsi="Times New Roman" w:eastAsia="仿宋_GB2312" w:cs="Times New Roman"/>
          <w:snapToGrid/>
          <w:kern w:val="2"/>
          <w:sz w:val="32"/>
          <w:szCs w:val="32"/>
          <w:lang w:val="en-US" w:eastAsia="zh-CN"/>
        </w:rPr>
        <w:t>3</w:t>
      </w:r>
      <w:r>
        <w:rPr>
          <w:rFonts w:hint="default" w:ascii="Times New Roman" w:hAnsi="Times New Roman" w:eastAsia="仿宋_GB2312" w:cs="Times New Roman"/>
          <w:snapToGrid/>
          <w:kern w:val="2"/>
          <w:sz w:val="32"/>
          <w:szCs w:val="32"/>
          <w:lang w:eastAsia="zh-CN"/>
        </w:rPr>
        <w:t>号）</w:t>
      </w:r>
      <w:r>
        <w:rPr>
          <w:rFonts w:hint="default" w:ascii="Times New Roman" w:hAnsi="Times New Roman" w:eastAsia="仿宋_GB2312" w:cs="Times New Roman"/>
          <w:snapToGrid/>
          <w:kern w:val="2"/>
          <w:sz w:val="32"/>
          <w:szCs w:val="32"/>
          <w:lang w:val="en-US" w:eastAsia="zh-CN"/>
        </w:rPr>
        <w:t>规定</w:t>
      </w:r>
      <w:r>
        <w:rPr>
          <w:rFonts w:hint="default" w:ascii="Times New Roman" w:hAnsi="Times New Roman" w:eastAsia="仿宋_GB2312" w:cs="Times New Roman"/>
          <w:snapToGrid/>
          <w:kern w:val="2"/>
          <w:sz w:val="32"/>
          <w:szCs w:val="32"/>
          <w:lang w:eastAsia="zh-CN"/>
        </w:rPr>
        <w:t>，</w:t>
      </w:r>
      <w:r>
        <w:rPr>
          <w:rFonts w:ascii="Times New Roman" w:hAnsi="Times New Roman" w:eastAsia="仿宋_GB2312" w:cs="Times New Roman"/>
          <w:snapToGrid/>
          <w:kern w:val="2"/>
          <w:sz w:val="32"/>
          <w:szCs w:val="32"/>
          <w:lang w:eastAsia="zh-CN"/>
        </w:rPr>
        <w:t>核定该项目按0.909万元/亩的标准一次性计提被征地农民养老保障资金存入“收缴被征地农民养老保障资金过渡户”，费用合计</w:t>
      </w:r>
      <w:r>
        <w:rPr>
          <w:rFonts w:hint="eastAsia" w:ascii="Times New Roman" w:hAnsi="Times New Roman" w:eastAsia="仿宋_GB2312" w:cs="Times New Roman"/>
          <w:snapToGrid/>
          <w:kern w:val="2"/>
          <w:sz w:val="32"/>
          <w:szCs w:val="32"/>
          <w:lang w:eastAsia="zh-CN"/>
        </w:rPr>
        <w:t>85.899</w:t>
      </w:r>
      <w:r>
        <w:rPr>
          <w:rFonts w:hint="eastAsia" w:ascii="Times New Roman" w:hAnsi="Times New Roman" w:eastAsia="仿宋_GB2312" w:cs="Times New Roman"/>
          <w:snapToGrid/>
          <w:kern w:val="2"/>
          <w:sz w:val="32"/>
          <w:szCs w:val="32"/>
          <w:lang w:val="en-US" w:eastAsia="zh-CN"/>
        </w:rPr>
        <w:t>2</w:t>
      </w:r>
      <w:r>
        <w:rPr>
          <w:rFonts w:ascii="Times New Roman" w:hAnsi="Times New Roman" w:eastAsia="仿宋_GB2312" w:cs="Times New Roman"/>
          <w:snapToGrid/>
          <w:kern w:val="2"/>
          <w:sz w:val="32"/>
          <w:szCs w:val="32"/>
          <w:lang w:eastAsia="zh-CN"/>
        </w:rPr>
        <w:t>万元，专款用于被征地农民缴纳养老保险费用。</w:t>
      </w:r>
    </w:p>
    <w:p>
      <w:pPr>
        <w:widowControl w:val="0"/>
        <w:kinsoku/>
        <w:autoSpaceDE/>
        <w:autoSpaceDN/>
        <w:adjustRightInd/>
        <w:snapToGrid/>
        <w:spacing w:line="600" w:lineRule="exact"/>
        <w:ind w:firstLine="640" w:firstLineChars="200"/>
        <w:jc w:val="both"/>
        <w:textAlignment w:val="auto"/>
        <w:rPr>
          <w:rFonts w:ascii="Times New Roman" w:hAnsi="Times New Roman" w:eastAsia="仿宋_GB2312" w:cs="Times New Roman"/>
          <w:snapToGrid/>
          <w:kern w:val="2"/>
          <w:sz w:val="32"/>
          <w:szCs w:val="32"/>
          <w:lang w:eastAsia="zh-CN"/>
        </w:rPr>
      </w:pPr>
    </w:p>
    <w:p>
      <w:pPr>
        <w:widowControl w:val="0"/>
        <w:kinsoku/>
        <w:wordWrap w:val="0"/>
        <w:autoSpaceDE/>
        <w:autoSpaceDN/>
        <w:adjustRightInd/>
        <w:snapToGrid/>
        <w:spacing w:line="600" w:lineRule="exact"/>
        <w:ind w:firstLine="640" w:firstLineChars="200"/>
        <w:jc w:val="right"/>
        <w:textAlignment w:val="auto"/>
        <w:rPr>
          <w:rFonts w:hint="default" w:ascii="Times New Roman" w:hAnsi="Times New Roman" w:eastAsia="仿宋_GB2312" w:cs="Times New Roman"/>
          <w:snapToGrid/>
          <w:kern w:val="2"/>
          <w:sz w:val="32"/>
          <w:szCs w:val="32"/>
          <w:lang w:val="en-US" w:eastAsia="zh-CN"/>
        </w:rPr>
      </w:pPr>
      <w:r>
        <w:rPr>
          <w:rFonts w:ascii="Times New Roman" w:hAnsi="Times New Roman" w:eastAsia="仿宋_GB2312" w:cs="Times New Roman"/>
          <w:snapToGrid/>
          <w:kern w:val="2"/>
          <w:sz w:val="32"/>
          <w:szCs w:val="32"/>
          <w:lang w:eastAsia="zh-CN"/>
        </w:rPr>
        <w:t>和平县自然资源局</w:t>
      </w:r>
      <w:r>
        <w:rPr>
          <w:rFonts w:hint="eastAsia" w:ascii="Times New Roman" w:hAnsi="Times New Roman" w:eastAsia="仿宋_GB2312" w:cs="Times New Roman"/>
          <w:snapToGrid/>
          <w:kern w:val="2"/>
          <w:sz w:val="32"/>
          <w:szCs w:val="32"/>
          <w:lang w:val="en-US" w:eastAsia="zh-CN"/>
        </w:rPr>
        <w:t xml:space="preserve">         </w:t>
      </w:r>
    </w:p>
    <w:p>
      <w:pPr>
        <w:widowControl w:val="0"/>
        <w:kinsoku/>
        <w:wordWrap w:val="0"/>
        <w:autoSpaceDE/>
        <w:autoSpaceDN/>
        <w:adjustRightInd/>
        <w:snapToGrid/>
        <w:spacing w:line="600" w:lineRule="exact"/>
        <w:ind w:firstLine="640" w:firstLineChars="200"/>
        <w:jc w:val="right"/>
        <w:textAlignment w:val="auto"/>
        <w:rPr>
          <w:rFonts w:hint="default" w:ascii="Times New Roman" w:hAnsi="Times New Roman" w:eastAsia="仿宋_GB2312" w:cs="Times New Roman"/>
          <w:snapToGrid/>
          <w:kern w:val="2"/>
          <w:sz w:val="32"/>
          <w:szCs w:val="32"/>
          <w:lang w:val="en-US" w:eastAsia="zh-CN"/>
        </w:rPr>
      </w:pPr>
      <w:r>
        <w:rPr>
          <w:rFonts w:ascii="Times New Roman" w:hAnsi="Times New Roman" w:eastAsia="仿宋_GB2312" w:cs="Times New Roman"/>
          <w:snapToGrid/>
          <w:kern w:val="2"/>
          <w:sz w:val="32"/>
          <w:szCs w:val="32"/>
          <w:lang w:eastAsia="zh-CN"/>
        </w:rPr>
        <w:t>202</w:t>
      </w:r>
      <w:r>
        <w:rPr>
          <w:rFonts w:hint="eastAsia" w:ascii="Times New Roman" w:hAnsi="Times New Roman" w:eastAsia="仿宋_GB2312" w:cs="Times New Roman"/>
          <w:snapToGrid/>
          <w:kern w:val="2"/>
          <w:sz w:val="32"/>
          <w:szCs w:val="32"/>
          <w:lang w:eastAsia="zh-CN"/>
        </w:rPr>
        <w:t>4</w:t>
      </w:r>
      <w:r>
        <w:rPr>
          <w:rFonts w:ascii="Times New Roman" w:hAnsi="Times New Roman" w:eastAsia="仿宋_GB2312" w:cs="Times New Roman"/>
          <w:snapToGrid/>
          <w:kern w:val="2"/>
          <w:sz w:val="32"/>
          <w:szCs w:val="32"/>
          <w:lang w:eastAsia="zh-CN"/>
        </w:rPr>
        <w:t>年</w:t>
      </w:r>
      <w:r>
        <w:rPr>
          <w:rFonts w:hint="eastAsia" w:ascii="Times New Roman" w:hAnsi="Times New Roman" w:eastAsia="仿宋_GB2312" w:cs="Times New Roman"/>
          <w:snapToGrid/>
          <w:kern w:val="2"/>
          <w:sz w:val="32"/>
          <w:szCs w:val="32"/>
          <w:lang w:val="en-US" w:eastAsia="zh-CN"/>
        </w:rPr>
        <w:t>10</w:t>
      </w:r>
      <w:r>
        <w:rPr>
          <w:rFonts w:ascii="Times New Roman" w:hAnsi="Times New Roman" w:eastAsia="仿宋_GB2312" w:cs="Times New Roman"/>
          <w:snapToGrid/>
          <w:kern w:val="2"/>
          <w:sz w:val="32"/>
          <w:szCs w:val="32"/>
          <w:lang w:eastAsia="zh-CN"/>
        </w:rPr>
        <w:t>月</w:t>
      </w:r>
      <w:r>
        <w:rPr>
          <w:rFonts w:hint="eastAsia" w:ascii="Times New Roman" w:hAnsi="Times New Roman" w:eastAsia="仿宋_GB2312" w:cs="Times New Roman"/>
          <w:snapToGrid/>
          <w:kern w:val="2"/>
          <w:sz w:val="32"/>
          <w:szCs w:val="32"/>
          <w:lang w:val="en-US" w:eastAsia="zh-CN"/>
        </w:rPr>
        <w:t xml:space="preserve"> </w:t>
      </w:r>
      <w:r>
        <w:rPr>
          <w:rFonts w:ascii="Times New Roman" w:hAnsi="Times New Roman" w:eastAsia="仿宋_GB2312" w:cs="Times New Roman"/>
          <w:snapToGrid/>
          <w:kern w:val="2"/>
          <w:sz w:val="32"/>
          <w:szCs w:val="32"/>
          <w:lang w:eastAsia="zh-CN"/>
        </w:rPr>
        <w:t>日</w:t>
      </w:r>
      <w:r>
        <w:rPr>
          <w:rFonts w:hint="eastAsia" w:ascii="Times New Roman" w:hAnsi="Times New Roman" w:eastAsia="仿宋_GB2312" w:cs="Times New Roman"/>
          <w:snapToGrid/>
          <w:kern w:val="2"/>
          <w:sz w:val="32"/>
          <w:szCs w:val="32"/>
          <w:lang w:val="en-US" w:eastAsia="zh-CN"/>
        </w:rPr>
        <w:t xml:space="preserve">         </w:t>
      </w:r>
    </w:p>
    <w:sectPr>
      <w:footerReference r:id="rId3" w:type="default"/>
      <w:pgSz w:w="11900" w:h="16830"/>
      <w:pgMar w:top="1984" w:right="1474" w:bottom="1871" w:left="1587" w:header="0" w:footer="949"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00007A87" w:usb1="80000000" w:usb2="00000008"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_GB2312">
    <w:altName w:val="楷体"/>
    <w:panose1 w:val="00000000000000000000"/>
    <w:charset w:val="86"/>
    <w:family w:val="auto"/>
    <w:pitch w:val="default"/>
    <w:sig w:usb0="00000000" w:usb1="00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3" w:lineRule="auto"/>
      <w:ind w:left="4390"/>
      <w:rPr>
        <w:rFonts w:ascii="Times New Roman" w:hAnsi="Times New Roman" w:eastAsia="Times New Roman" w:cs="Times New Roman"/>
        <w:sz w:val="14"/>
        <w:szCs w:val="14"/>
      </w:rPr>
    </w:pPr>
    <w:r>
      <w:rPr>
        <w:rFonts w:ascii="Times New Roman" w:hAnsi="Times New Roman" w:eastAsia="Times New Roman" w:cs="Times New Roman"/>
        <w:sz w:val="14"/>
        <w:szCs w:val="14"/>
      </w:rPr>
      <w:t>2</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true"/>
  <w:displayBackgroundShape w:val="true"/>
  <w:bordersDoNotSurroundHeader w:val="true"/>
  <w:bordersDoNotSurroundFooter w:val="true"/>
  <w:documentProtection w:enforcement="0"/>
  <w:defaultTabStop w:val="420"/>
  <w:characterSpacingControl w:val="doNotCompress"/>
  <w:compat>
    <w:spaceForUL/>
    <w:ulTrailSpace/>
    <w:useFELayout/>
    <w:compatSetting w:name="compatibilityMode" w:uri="http://schemas.microsoft.com/office/word" w:val="14"/>
  </w:compat>
  <w:docVars>
    <w:docVar w:name="commondata" w:val="eyJoZGlkIjoiYjI1NDIyN2JiYjIxMTZiM2U0OGRiMzRlZWViMTZlYjgifQ=="/>
  </w:docVars>
  <w:rsids>
    <w:rsidRoot w:val="00E55C83"/>
    <w:rsid w:val="0034606E"/>
    <w:rsid w:val="005E1287"/>
    <w:rsid w:val="00AB7FE4"/>
    <w:rsid w:val="00E55C83"/>
    <w:rsid w:val="025E362C"/>
    <w:rsid w:val="04117BDE"/>
    <w:rsid w:val="176B235A"/>
    <w:rsid w:val="1D0205B4"/>
    <w:rsid w:val="1D315072"/>
    <w:rsid w:val="24C7636B"/>
    <w:rsid w:val="261D1FBA"/>
    <w:rsid w:val="26486845"/>
    <w:rsid w:val="268F1F81"/>
    <w:rsid w:val="2768F543"/>
    <w:rsid w:val="2C782724"/>
    <w:rsid w:val="2F7FCB47"/>
    <w:rsid w:val="2FA31E15"/>
    <w:rsid w:val="3E411868"/>
    <w:rsid w:val="3EDA654A"/>
    <w:rsid w:val="4D6B16DA"/>
    <w:rsid w:val="51E930AB"/>
    <w:rsid w:val="55FB2BE7"/>
    <w:rsid w:val="5AA52526"/>
    <w:rsid w:val="5D064F7B"/>
    <w:rsid w:val="6DDAEF66"/>
    <w:rsid w:val="7EF07C34"/>
    <w:rsid w:val="7F6BCEA6"/>
    <w:rsid w:val="9D1F6A81"/>
    <w:rsid w:val="BEFF36B4"/>
    <w:rsid w:val="DEB6D8FB"/>
    <w:rsid w:val="EADEA388"/>
    <w:rsid w:val="F75E351A"/>
    <w:rsid w:val="FD7ABA50"/>
    <w:rsid w:val="FFB791FA"/>
    <w:rsid w:val="FFFDE4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Theme="minorEastAsia" w:cs="Arial"/>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paragraph" w:styleId="3">
    <w:name w:val="heading 1"/>
    <w:basedOn w:val="1"/>
    <w:next w:val="1"/>
    <w:qFormat/>
    <w:uiPriority w:val="0"/>
    <w:pPr>
      <w:keepNext/>
      <w:keepLines/>
      <w:spacing w:before="340" w:after="330" w:line="576" w:lineRule="auto"/>
      <w:outlineLvl w:val="0"/>
    </w:pPr>
    <w:rPr>
      <w:b/>
      <w:kern w:val="44"/>
      <w:sz w:val="44"/>
    </w:rPr>
  </w:style>
  <w:style w:type="paragraph" w:styleId="4">
    <w:name w:val="heading 3"/>
    <w:basedOn w:val="1"/>
    <w:next w:val="1"/>
    <w:unhideWhenUsed/>
    <w:qFormat/>
    <w:uiPriority w:val="0"/>
    <w:pPr>
      <w:keepNext/>
      <w:keepLines/>
      <w:spacing w:before="260" w:after="260" w:line="413" w:lineRule="auto"/>
      <w:outlineLvl w:val="2"/>
    </w:pPr>
    <w:rPr>
      <w:b/>
      <w:sz w:val="32"/>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5"/>
      <w:szCs w:val="35"/>
    </w:rPr>
  </w:style>
  <w:style w:type="paragraph" w:styleId="5">
    <w:name w:val="Body Text Indent"/>
    <w:basedOn w:val="1"/>
    <w:unhideWhenUsed/>
    <w:qFormat/>
    <w:uiPriority w:val="99"/>
    <w:pPr>
      <w:tabs>
        <w:tab w:val="left" w:pos="3120"/>
      </w:tabs>
      <w:spacing w:line="620" w:lineRule="exact"/>
      <w:ind w:firstLine="810"/>
    </w:pPr>
    <w:rPr>
      <w:rFonts w:ascii="仿宋_GB2312" w:eastAsia="仿宋_GB2312"/>
    </w:rPr>
  </w:style>
  <w:style w:type="paragraph" w:styleId="6">
    <w:name w:val="footer"/>
    <w:basedOn w:val="1"/>
    <w:link w:val="14"/>
    <w:qFormat/>
    <w:uiPriority w:val="0"/>
    <w:pPr>
      <w:tabs>
        <w:tab w:val="center" w:pos="4153"/>
        <w:tab w:val="right" w:pos="8306"/>
      </w:tabs>
    </w:pPr>
    <w:rPr>
      <w:sz w:val="18"/>
      <w:szCs w:val="18"/>
    </w:rPr>
  </w:style>
  <w:style w:type="paragraph" w:styleId="7">
    <w:name w:val="header"/>
    <w:basedOn w:val="1"/>
    <w:link w:val="13"/>
    <w:qFormat/>
    <w:uiPriority w:val="0"/>
    <w:pPr>
      <w:tabs>
        <w:tab w:val="center" w:pos="4153"/>
        <w:tab w:val="right" w:pos="8306"/>
      </w:tabs>
      <w:jc w:val="center"/>
    </w:pPr>
    <w:rPr>
      <w:sz w:val="18"/>
      <w:szCs w:val="18"/>
    </w:rPr>
  </w:style>
  <w:style w:type="paragraph" w:styleId="8">
    <w:name w:val="Body Text First Indent 2"/>
    <w:basedOn w:val="5"/>
    <w:unhideWhenUsed/>
    <w:qFormat/>
    <w:uiPriority w:val="99"/>
    <w:pPr>
      <w:ind w:firstLine="420" w:firstLineChars="200"/>
    </w:pPr>
  </w:style>
  <w:style w:type="character" w:styleId="11">
    <w:name w:val="Strong"/>
    <w:basedOn w:val="10"/>
    <w:qFormat/>
    <w:uiPriority w:val="0"/>
    <w:rPr>
      <w:b/>
    </w:rPr>
  </w:style>
  <w:style w:type="table" w:customStyle="1" w:styleId="12">
    <w:name w:val="Table Normal"/>
    <w:semiHidden/>
    <w:unhideWhenUsed/>
    <w:qFormat/>
    <w:uiPriority w:val="0"/>
    <w:tblPr>
      <w:tblCellMar>
        <w:top w:w="0" w:type="dxa"/>
        <w:left w:w="0" w:type="dxa"/>
        <w:bottom w:w="0" w:type="dxa"/>
        <w:right w:w="0" w:type="dxa"/>
      </w:tblCellMar>
    </w:tblPr>
  </w:style>
  <w:style w:type="character" w:customStyle="1" w:styleId="13">
    <w:name w:val="页眉 字符"/>
    <w:basedOn w:val="10"/>
    <w:link w:val="7"/>
    <w:qFormat/>
    <w:uiPriority w:val="0"/>
    <w:rPr>
      <w:rFonts w:eastAsia="Arial"/>
      <w:snapToGrid w:val="0"/>
      <w:color w:val="000000"/>
      <w:sz w:val="18"/>
      <w:szCs w:val="18"/>
      <w:lang w:eastAsia="en-US"/>
    </w:rPr>
  </w:style>
  <w:style w:type="character" w:customStyle="1" w:styleId="14">
    <w:name w:val="页脚 字符"/>
    <w:basedOn w:val="10"/>
    <w:link w:val="6"/>
    <w:qFormat/>
    <w:uiPriority w:val="0"/>
    <w:rPr>
      <w:rFonts w:eastAsia="Arial"/>
      <w:snapToGrid w:val="0"/>
      <w:color w:val="000000"/>
      <w:sz w:val="18"/>
      <w:szCs w:val="18"/>
      <w:lang w:eastAsia="en-U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1327</Words>
  <Characters>1497</Characters>
  <Lines>10</Lines>
  <Paragraphs>2</Paragraphs>
  <TotalTime>1</TotalTime>
  <ScaleCrop>false</ScaleCrop>
  <LinksUpToDate>false</LinksUpToDate>
  <CharactersWithSpaces>1497</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2024-09-13T00:08:00Z</dcterms:created>
  <dc:creator>Kingsoft-PDF</dc:creator>
  <cp:lastModifiedBy>zfb</cp:lastModifiedBy>
  <dcterms:modified xsi:type="dcterms:W3CDTF">2024-10-15T17:22:57Z</dcterms:modified>
  <dc:subject>pdfbuilder</dc:subject>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2024-09-10T16:08:32Z</vt:filetime>
  </property>
  <property fmtid="{D5CDD505-2E9C-101B-9397-08002B2CF9AE}" pid="4" name="UsrData">
    <vt:lpwstr>66dffe7eef774f001fec52d7wl</vt:lpwstr>
  </property>
  <property fmtid="{D5CDD505-2E9C-101B-9397-08002B2CF9AE}" pid="5" name="KSOProductBuildVer">
    <vt:lpwstr>2052-11.8.2.10125</vt:lpwstr>
  </property>
  <property fmtid="{D5CDD505-2E9C-101B-9397-08002B2CF9AE}" pid="6" name="ICV">
    <vt:lpwstr>6BB6E342182745FF850ED8855CD88488_13</vt:lpwstr>
  </property>
</Properties>
</file>