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rPr>
          <w:rFonts w:hint="eastAsia" w:ascii="方正黑体_GBK" w:hAnsi="方正黑体_GBK" w:eastAsia="方正黑体_GBK" w:cs="方正黑体_GBK"/>
          <w:snapToGrid w:val="0"/>
          <w:color w:val="000000"/>
          <w:kern w:val="0"/>
          <w:sz w:val="32"/>
          <w:szCs w:val="32"/>
          <w:highlight w:val="none"/>
          <w:lang w:val="en-US" w:eastAsia="zh-CN"/>
        </w:rPr>
      </w:pPr>
      <w:r>
        <w:rPr>
          <w:rFonts w:hint="default" w:ascii="方正黑体_GBK" w:hAnsi="方正黑体_GBK" w:eastAsia="方正黑体_GBK" w:cs="方正黑体_GBK"/>
          <w:snapToGrid w:val="0"/>
          <w:color w:val="000000"/>
          <w:kern w:val="0"/>
          <w:sz w:val="32"/>
          <w:szCs w:val="32"/>
          <w:highlight w:val="none"/>
          <w:lang w:val="en-US" w:eastAsia="zh-CN"/>
        </w:rPr>
        <w:t>附件</w:t>
      </w:r>
      <w:r>
        <w:rPr>
          <w:rFonts w:hint="eastAsia" w:ascii="方正黑体_GBK" w:hAnsi="方正黑体_GBK" w:eastAsia="方正黑体_GBK" w:cs="方正黑体_GBK"/>
          <w:snapToGrid w:val="0"/>
          <w:color w:val="000000"/>
          <w:kern w:val="0"/>
          <w:sz w:val="32"/>
          <w:szCs w:val="32"/>
          <w:highlight w:val="none"/>
          <w:lang w:val="en-US" w:eastAsia="zh-CN"/>
        </w:rPr>
        <w:t>1</w:t>
      </w:r>
    </w:p>
    <w:p>
      <w:pPr>
        <w:bidi w:val="0"/>
        <w:jc w:val="both"/>
        <w:rPr>
          <w:rFonts w:hint="eastAsia" w:ascii="方正小标宋简体" w:hAnsi="方正小标宋简体" w:eastAsia="方正小标宋简体" w:cs="方正小标宋简体"/>
          <w:sz w:val="32"/>
          <w:szCs w:val="32"/>
          <w:lang w:val="en-US" w:eastAsia="zh-CN"/>
        </w:rPr>
      </w:pPr>
    </w:p>
    <w:p>
      <w:pPr>
        <w:bidi w:val="0"/>
        <w:jc w:val="center"/>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和平县</w:t>
      </w:r>
      <w:r>
        <w:rPr>
          <w:rFonts w:hint="eastAsia" w:ascii="Times New Roman" w:hAnsi="Times New Roman" w:eastAsia="方正小标宋简体" w:cs="Times New Roman"/>
          <w:sz w:val="44"/>
          <w:szCs w:val="44"/>
          <w:lang w:val="en-US" w:eastAsia="zh-CN"/>
        </w:rPr>
        <w:t>2023年度第十七批次</w:t>
      </w:r>
      <w:r>
        <w:rPr>
          <w:rFonts w:hint="default" w:ascii="Times New Roman" w:hAnsi="Times New Roman" w:eastAsia="方正小标宋简体" w:cs="Times New Roman"/>
          <w:sz w:val="44"/>
          <w:szCs w:val="44"/>
          <w:lang w:val="en-US" w:eastAsia="zh-CN"/>
        </w:rPr>
        <w:t>城镇建设用地</w:t>
      </w:r>
    </w:p>
    <w:p>
      <w:pPr>
        <w:bidi w:val="0"/>
        <w:jc w:val="center"/>
        <w:rPr>
          <w:spacing w:val="-6"/>
        </w:rPr>
      </w:pPr>
      <w:r>
        <w:rPr>
          <w:rFonts w:hint="default" w:ascii="Times New Roman" w:hAnsi="Times New Roman" w:eastAsia="方正小标宋简体" w:cs="Times New Roman"/>
          <w:sz w:val="44"/>
          <w:szCs w:val="44"/>
        </w:rPr>
        <w:t>征地补偿安置方案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为实施和平县202</w:t>
      </w:r>
      <w:r>
        <w:rPr>
          <w:rFonts w:hint="eastAsia"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年度第</w:t>
      </w:r>
      <w:r>
        <w:rPr>
          <w:rFonts w:hint="eastAsia" w:ascii="Times New Roman" w:hAnsi="Times New Roman" w:eastAsia="仿宋_GB2312" w:cs="Times New Roman"/>
          <w:snapToGrid/>
          <w:kern w:val="2"/>
          <w:sz w:val="32"/>
          <w:szCs w:val="32"/>
          <w:lang w:val="en-US" w:eastAsia="zh-CN"/>
        </w:rPr>
        <w:t>十七</w:t>
      </w:r>
      <w:r>
        <w:rPr>
          <w:rFonts w:hint="default" w:ascii="Times New Roman" w:hAnsi="Times New Roman" w:eastAsia="仿宋_GB2312" w:cs="Times New Roman"/>
          <w:snapToGrid/>
          <w:kern w:val="2"/>
          <w:sz w:val="32"/>
          <w:szCs w:val="32"/>
          <w:lang w:eastAsia="zh-CN"/>
        </w:rPr>
        <w:t>批次城镇建设，和平县人民政府拟征收和平县大坝镇、阳明镇属下的集体土地</w:t>
      </w:r>
      <w:r>
        <w:rPr>
          <w:rFonts w:hint="eastAsia" w:ascii="Times New Roman" w:hAnsi="Times New Roman" w:eastAsia="仿宋_GB2312" w:cs="Times New Roman"/>
          <w:snapToGrid/>
          <w:kern w:val="2"/>
          <w:sz w:val="32"/>
          <w:szCs w:val="32"/>
          <w:lang w:val="en-US" w:eastAsia="zh-CN"/>
        </w:rPr>
        <w:t>5.3274</w:t>
      </w:r>
      <w:r>
        <w:rPr>
          <w:rFonts w:hint="default" w:ascii="Times New Roman" w:hAnsi="Times New Roman" w:eastAsia="仿宋_GB2312" w:cs="Times New Roman"/>
          <w:snapToGrid/>
          <w:kern w:val="2"/>
          <w:sz w:val="32"/>
          <w:szCs w:val="32"/>
          <w:lang w:eastAsia="zh-CN"/>
        </w:rPr>
        <w:t>公顷。根据《中华人民共和国土地管理法》第四十七条、第四十八条，《中华人民共和国土地管理法实施条例》第二十七条、第二十八条，《广东省土地管理条例》第三十条的规定，</w:t>
      </w:r>
      <w:r>
        <w:rPr>
          <w:rFonts w:hint="default" w:ascii="Times New Roman" w:hAnsi="Times New Roman" w:eastAsia="仿宋_GB2312" w:cs="Times New Roman"/>
          <w:sz w:val="32"/>
          <w:szCs w:val="32"/>
        </w:rPr>
        <w:t>结合</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的征收农用地区片综合地价和实际情况，拟定了征地补偿安置方案</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一、征收范围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拟征收土地位于和平县阳明镇大楼村大屋、新农屋经济合作社</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大坝镇超田村超下、上屋、石街经济合作社范围内，具体位置详见附图。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default" w:ascii="黑体" w:hAnsi="黑体" w:eastAsia="黑体" w:cs="黑体"/>
          <w:sz w:val="32"/>
          <w:szCs w:val="32"/>
        </w:rPr>
        <w:t>二、征收</w:t>
      </w:r>
      <w:r>
        <w:rPr>
          <w:rFonts w:hint="eastAsia" w:ascii="黑体" w:hAnsi="黑体" w:eastAsia="黑体" w:cs="黑体"/>
          <w:sz w:val="32"/>
          <w:szCs w:val="32"/>
          <w:lang w:val="en-US" w:eastAsia="zh-CN"/>
        </w:rPr>
        <w:t>目的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napToGrid/>
          <w:kern w:val="2"/>
          <w:sz w:val="32"/>
          <w:szCs w:val="32"/>
          <w:lang w:eastAsia="zh-CN"/>
        </w:rPr>
        <w:t>根据《中华人民共和国土地管理法》第四十五条的规定，本次征收土地目的为：在土地利用总体规划确定的城镇建设用地范围内，经省级以上人民政府批准由县级以上地方人民政府组织实施的成片开发建设需要用地</w:t>
      </w:r>
      <w:r>
        <w:rPr>
          <w:rFonts w:hint="eastAsia"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黑体" w:hAnsi="黑体" w:eastAsia="黑体" w:cs="黑体"/>
          <w:sz w:val="32"/>
          <w:szCs w:val="32"/>
        </w:rPr>
      </w:pPr>
      <w:r>
        <w:rPr>
          <w:rFonts w:hint="default" w:ascii="黑体" w:hAnsi="黑体" w:eastAsia="黑体" w:cs="黑体"/>
          <w:sz w:val="32"/>
          <w:szCs w:val="32"/>
        </w:rPr>
        <w:t>三、土地现状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根据拟征收土地现状调查结果，拟征收土地现状为：</w:t>
      </w:r>
    </w:p>
    <w:p>
      <w:pPr>
        <w:pStyle w:val="6"/>
        <w:keepNext w:val="0"/>
        <w:keepLines w:val="0"/>
        <w:pageBreakBefore w:val="0"/>
        <w:widowControl w:val="0"/>
        <w:kinsoku/>
        <w:overflowPunct/>
        <w:topLinePunct w:val="0"/>
        <w:autoSpaceDE/>
        <w:autoSpaceDN/>
        <w:bidi w:val="0"/>
        <w:adjustRightInd/>
        <w:snapToGrid/>
        <w:spacing w:line="560" w:lineRule="exact"/>
        <w:ind w:firstLine="632"/>
        <w:jc w:val="both"/>
        <w:textAlignment w:val="auto"/>
        <w:rPr>
          <w:rFonts w:ascii="Times New Roman" w:hAnsi="Times New Roman" w:eastAsia="仿宋_GB2312" w:cs="Times New Roman"/>
          <w:snapToGrid/>
          <w:kern w:val="2"/>
          <w:sz w:val="32"/>
          <w:szCs w:val="32"/>
          <w:lang w:eastAsia="zh-CN"/>
        </w:rPr>
      </w:pPr>
      <w:r>
        <w:rPr>
          <w:rFonts w:ascii="Times New Roman" w:hAnsi="Times New Roman" w:eastAsia="仿宋_GB2312" w:cs="Times New Roman"/>
          <w:snapToGrid/>
          <w:kern w:val="2"/>
          <w:sz w:val="32"/>
          <w:szCs w:val="32"/>
          <w:lang w:eastAsia="zh-CN"/>
        </w:rPr>
        <w:t>1</w:t>
      </w:r>
      <w:r>
        <w:rPr>
          <w:rFonts w:hint="eastAsia" w:ascii="Times New Roman" w:hAnsi="Times New Roman" w:eastAsia="仿宋_GB2312" w:cs="Times New Roman"/>
          <w:snapToGrid/>
          <w:kern w:val="2"/>
          <w:sz w:val="32"/>
          <w:szCs w:val="32"/>
          <w:lang w:val="en-US" w:eastAsia="zh-CN"/>
        </w:rPr>
        <w:t>.</w:t>
      </w:r>
      <w:r>
        <w:rPr>
          <w:rFonts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和平县阳明镇大楼村大屋经济合作社农民</w:t>
      </w:r>
      <w:r>
        <w:rPr>
          <w:rFonts w:ascii="Times New Roman" w:hAnsi="Times New Roman" w:eastAsia="仿宋_GB2312" w:cs="Times New Roman"/>
          <w:snapToGrid/>
          <w:kern w:val="2"/>
          <w:sz w:val="32"/>
          <w:szCs w:val="32"/>
          <w:lang w:eastAsia="zh-CN"/>
        </w:rPr>
        <w:t>集体所有土地3.0168公顷（</w:t>
      </w:r>
      <w:r>
        <w:rPr>
          <w:rFonts w:hint="eastAsia" w:ascii="Times New Roman" w:hAnsi="Times New Roman" w:eastAsia="仿宋_GB2312" w:cs="Times New Roman"/>
          <w:snapToGrid/>
          <w:kern w:val="2"/>
          <w:sz w:val="32"/>
          <w:szCs w:val="32"/>
          <w:lang w:eastAsia="zh-CN"/>
        </w:rPr>
        <w:t>45.2520</w:t>
      </w:r>
      <w:r>
        <w:rPr>
          <w:rFonts w:ascii="Times New Roman" w:hAnsi="Times New Roman" w:eastAsia="仿宋_GB2312" w:cs="Times New Roman"/>
          <w:snapToGrid/>
          <w:kern w:val="2"/>
          <w:sz w:val="32"/>
          <w:szCs w:val="32"/>
          <w:lang w:eastAsia="zh-CN"/>
        </w:rPr>
        <w:t>亩）。其中，农用地</w:t>
      </w:r>
      <w:r>
        <w:rPr>
          <w:rFonts w:hint="eastAsia" w:ascii="Times New Roman" w:hAnsi="Times New Roman" w:eastAsia="仿宋_GB2312" w:cs="Times New Roman"/>
          <w:snapToGrid/>
          <w:kern w:val="2"/>
          <w:sz w:val="32"/>
          <w:szCs w:val="32"/>
          <w:lang w:eastAsia="zh-CN"/>
        </w:rPr>
        <w:t>3.0168公顷（45.2520亩）</w:t>
      </w:r>
      <w:r>
        <w:rPr>
          <w:rFonts w:ascii="Times New Roman" w:hAnsi="Times New Roman" w:eastAsia="仿宋_GB2312" w:cs="Times New Roman"/>
          <w:snapToGrid/>
          <w:kern w:val="2"/>
          <w:sz w:val="32"/>
          <w:szCs w:val="32"/>
          <w:lang w:eastAsia="zh-CN"/>
        </w:rPr>
        <w:t>，</w:t>
      </w:r>
      <w:r>
        <w:rPr>
          <w:rFonts w:hint="eastAsia" w:ascii="Times New Roman" w:hAnsi="Times New Roman" w:eastAsia="仿宋_GB2312" w:cs="Times New Roman"/>
          <w:snapToGrid/>
          <w:kern w:val="2"/>
          <w:sz w:val="32"/>
          <w:szCs w:val="32"/>
          <w:lang w:val="en-US" w:eastAsia="zh-CN"/>
        </w:rPr>
        <w:t>含</w:t>
      </w:r>
      <w:r>
        <w:rPr>
          <w:rFonts w:ascii="Times New Roman" w:hAnsi="Times New Roman" w:eastAsia="仿宋_GB2312" w:cs="Times New Roman"/>
          <w:snapToGrid/>
          <w:kern w:val="2"/>
          <w:sz w:val="32"/>
          <w:szCs w:val="32"/>
          <w:lang w:eastAsia="zh-CN"/>
        </w:rPr>
        <w:t>耕地</w:t>
      </w:r>
      <w:r>
        <w:rPr>
          <w:rFonts w:hint="eastAsia" w:ascii="Times New Roman" w:hAnsi="Times New Roman" w:eastAsia="仿宋_GB2312" w:cs="Times New Roman"/>
          <w:snapToGrid/>
          <w:kern w:val="2"/>
          <w:sz w:val="32"/>
          <w:szCs w:val="32"/>
          <w:lang w:eastAsia="zh-CN"/>
        </w:rPr>
        <w:t>0.0060公顷（0.0900亩）；</w:t>
      </w:r>
    </w:p>
    <w:p>
      <w:pPr>
        <w:pStyle w:val="6"/>
        <w:keepNext w:val="0"/>
        <w:keepLines w:val="0"/>
        <w:pageBreakBefore w:val="0"/>
        <w:widowControl w:val="0"/>
        <w:kinsoku/>
        <w:overflowPunct/>
        <w:topLinePunct w:val="0"/>
        <w:autoSpaceDE/>
        <w:autoSpaceDN/>
        <w:bidi w:val="0"/>
        <w:adjustRightInd/>
        <w:snapToGrid/>
        <w:spacing w:line="560" w:lineRule="exact"/>
        <w:ind w:firstLine="632"/>
        <w:jc w:val="both"/>
        <w:textAlignment w:val="auto"/>
        <w:rPr>
          <w:rFonts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2</w:t>
      </w:r>
      <w:r>
        <w:rPr>
          <w:rFonts w:hint="eastAsia" w:ascii="Times New Roman" w:hAnsi="Times New Roman" w:eastAsia="仿宋_GB2312" w:cs="Times New Roman"/>
          <w:snapToGrid/>
          <w:kern w:val="2"/>
          <w:sz w:val="32"/>
          <w:szCs w:val="32"/>
          <w:lang w:val="en-US" w:eastAsia="zh-CN"/>
        </w:rPr>
        <w:t>.</w:t>
      </w:r>
      <w:r>
        <w:rPr>
          <w:rFonts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和平县阳明镇大楼村新屋经济合作社农民</w:t>
      </w:r>
      <w:r>
        <w:rPr>
          <w:rFonts w:ascii="Times New Roman" w:hAnsi="Times New Roman" w:eastAsia="仿宋_GB2312" w:cs="Times New Roman"/>
          <w:snapToGrid/>
          <w:kern w:val="2"/>
          <w:sz w:val="32"/>
          <w:szCs w:val="32"/>
          <w:lang w:eastAsia="zh-CN"/>
        </w:rPr>
        <w:t>集体所有土地2.033</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30.4950</w:t>
      </w:r>
      <w:r>
        <w:rPr>
          <w:rFonts w:ascii="Times New Roman" w:hAnsi="Times New Roman" w:eastAsia="仿宋_GB2312" w:cs="Times New Roman"/>
          <w:snapToGrid/>
          <w:kern w:val="2"/>
          <w:sz w:val="32"/>
          <w:szCs w:val="32"/>
          <w:lang w:eastAsia="zh-CN"/>
        </w:rPr>
        <w:t>亩）。其中，农用地公顷</w:t>
      </w:r>
      <w:r>
        <w:rPr>
          <w:rFonts w:hint="eastAsia" w:ascii="Times New Roman" w:hAnsi="Times New Roman" w:eastAsia="仿宋_GB2312" w:cs="Times New Roman"/>
          <w:snapToGrid/>
          <w:kern w:val="2"/>
          <w:sz w:val="32"/>
          <w:szCs w:val="32"/>
          <w:lang w:eastAsia="zh-CN"/>
        </w:rPr>
        <w:t>2.0330公顷（30.4950亩）</w:t>
      </w:r>
      <w:r>
        <w:rPr>
          <w:rFonts w:ascii="Times New Roman" w:hAnsi="Times New Roman" w:eastAsia="仿宋_GB2312" w:cs="Times New Roman"/>
          <w:snapToGrid/>
          <w:kern w:val="2"/>
          <w:sz w:val="32"/>
          <w:szCs w:val="32"/>
          <w:lang w:eastAsia="zh-CN"/>
        </w:rPr>
        <w:t>，</w:t>
      </w:r>
      <w:r>
        <w:rPr>
          <w:rFonts w:hint="eastAsia" w:ascii="Times New Roman" w:hAnsi="Times New Roman" w:eastAsia="仿宋_GB2312" w:cs="Times New Roman"/>
          <w:snapToGrid/>
          <w:kern w:val="2"/>
          <w:sz w:val="32"/>
          <w:szCs w:val="32"/>
          <w:lang w:val="en-US" w:eastAsia="zh-CN"/>
        </w:rPr>
        <w:t>含</w:t>
      </w:r>
      <w:r>
        <w:rPr>
          <w:rFonts w:ascii="Times New Roman" w:hAnsi="Times New Roman" w:eastAsia="仿宋_GB2312" w:cs="Times New Roman"/>
          <w:snapToGrid/>
          <w:kern w:val="2"/>
          <w:sz w:val="32"/>
          <w:szCs w:val="32"/>
          <w:lang w:eastAsia="zh-CN"/>
        </w:rPr>
        <w:t>耕地公顷1.0567（</w:t>
      </w:r>
      <w:r>
        <w:rPr>
          <w:rFonts w:hint="eastAsia" w:ascii="Times New Roman" w:hAnsi="Times New Roman" w:eastAsia="仿宋_GB2312" w:cs="Times New Roman"/>
          <w:snapToGrid/>
          <w:kern w:val="2"/>
          <w:sz w:val="32"/>
          <w:szCs w:val="32"/>
          <w:lang w:eastAsia="zh-CN"/>
        </w:rPr>
        <w:t>15.8505</w:t>
      </w:r>
      <w:r>
        <w:rPr>
          <w:rFonts w:ascii="Times New Roman" w:hAnsi="Times New Roman" w:eastAsia="仿宋_GB2312" w:cs="Times New Roman"/>
          <w:snapToGrid/>
          <w:kern w:val="2"/>
          <w:sz w:val="32"/>
          <w:szCs w:val="32"/>
          <w:lang w:eastAsia="zh-CN"/>
        </w:rPr>
        <w:t>亩）</w:t>
      </w:r>
      <w:r>
        <w:rPr>
          <w:rFonts w:hint="eastAsia" w:ascii="Times New Roman" w:hAnsi="Times New Roman" w:cs="Times New Roman"/>
          <w:snapToGrid/>
          <w:kern w:val="2"/>
          <w:sz w:val="32"/>
          <w:szCs w:val="32"/>
          <w:lang w:eastAsia="zh-CN"/>
        </w:rPr>
        <w:t>；</w:t>
      </w:r>
    </w:p>
    <w:p>
      <w:pPr>
        <w:pStyle w:val="6"/>
        <w:keepNext w:val="0"/>
        <w:keepLines w:val="0"/>
        <w:pageBreakBefore w:val="0"/>
        <w:widowControl w:val="0"/>
        <w:kinsoku/>
        <w:overflowPunct/>
        <w:topLinePunct w:val="0"/>
        <w:autoSpaceDE/>
        <w:autoSpaceDN/>
        <w:bidi w:val="0"/>
        <w:adjustRightInd/>
        <w:snapToGrid/>
        <w:spacing w:line="560" w:lineRule="exact"/>
        <w:ind w:firstLine="632"/>
        <w:jc w:val="both"/>
        <w:textAlignment w:val="auto"/>
        <w:rPr>
          <w:rFonts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3</w:t>
      </w:r>
      <w:r>
        <w:rPr>
          <w:rFonts w:hint="eastAsia" w:ascii="Times New Roman" w:hAnsi="Times New Roman" w:eastAsia="仿宋_GB2312" w:cs="Times New Roman"/>
          <w:snapToGrid/>
          <w:kern w:val="2"/>
          <w:sz w:val="32"/>
          <w:szCs w:val="32"/>
          <w:lang w:val="en-US" w:eastAsia="zh-CN"/>
        </w:rPr>
        <w:t>.</w:t>
      </w:r>
      <w:r>
        <w:rPr>
          <w:rFonts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和平县大坝镇超田村超下经济合作社农民</w:t>
      </w:r>
      <w:r>
        <w:rPr>
          <w:rFonts w:ascii="Times New Roman" w:hAnsi="Times New Roman" w:eastAsia="仿宋_GB2312" w:cs="Times New Roman"/>
          <w:snapToGrid/>
          <w:kern w:val="2"/>
          <w:sz w:val="32"/>
          <w:szCs w:val="32"/>
          <w:lang w:eastAsia="zh-CN"/>
        </w:rPr>
        <w:t>集体所有土地0.0004公顷（</w:t>
      </w:r>
      <w:r>
        <w:rPr>
          <w:rFonts w:hint="eastAsia" w:ascii="Times New Roman" w:hAnsi="Times New Roman" w:eastAsia="仿宋_GB2312" w:cs="Times New Roman"/>
          <w:snapToGrid/>
          <w:kern w:val="2"/>
          <w:sz w:val="32"/>
          <w:szCs w:val="32"/>
          <w:lang w:eastAsia="zh-CN"/>
        </w:rPr>
        <w:t>0.0060</w:t>
      </w:r>
      <w:r>
        <w:rPr>
          <w:rFonts w:ascii="Times New Roman" w:hAnsi="Times New Roman" w:eastAsia="仿宋_GB2312" w:cs="Times New Roman"/>
          <w:snapToGrid/>
          <w:kern w:val="2"/>
          <w:sz w:val="32"/>
          <w:szCs w:val="32"/>
          <w:lang w:eastAsia="zh-CN"/>
        </w:rPr>
        <w:t>亩）。其中，农用地</w:t>
      </w:r>
      <w:r>
        <w:rPr>
          <w:rFonts w:hint="eastAsia" w:ascii="Times New Roman" w:hAnsi="Times New Roman" w:eastAsia="仿宋_GB2312" w:cs="Times New Roman"/>
          <w:snapToGrid/>
          <w:kern w:val="2"/>
          <w:sz w:val="32"/>
          <w:szCs w:val="32"/>
          <w:lang w:eastAsia="zh-CN"/>
        </w:rPr>
        <w:t>0.0004</w:t>
      </w:r>
      <w:r>
        <w:rPr>
          <w:rFonts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0.0060</w:t>
      </w:r>
      <w:r>
        <w:rPr>
          <w:rFonts w:ascii="Times New Roman" w:hAnsi="Times New Roman" w:eastAsia="仿宋_GB2312" w:cs="Times New Roman"/>
          <w:snapToGrid/>
          <w:kern w:val="2"/>
          <w:sz w:val="32"/>
          <w:szCs w:val="32"/>
          <w:lang w:eastAsia="zh-CN"/>
        </w:rPr>
        <w:t>亩），</w:t>
      </w:r>
      <w:r>
        <w:rPr>
          <w:rFonts w:hint="eastAsia" w:ascii="Times New Roman" w:hAnsi="Times New Roman" w:eastAsia="仿宋_GB2312" w:cs="Times New Roman"/>
          <w:snapToGrid/>
          <w:kern w:val="2"/>
          <w:sz w:val="32"/>
          <w:szCs w:val="32"/>
          <w:lang w:val="en-US" w:eastAsia="zh-CN"/>
        </w:rPr>
        <w:t>含</w:t>
      </w:r>
      <w:r>
        <w:rPr>
          <w:rFonts w:ascii="Times New Roman" w:hAnsi="Times New Roman" w:eastAsia="仿宋_GB2312" w:cs="Times New Roman"/>
          <w:snapToGrid/>
          <w:kern w:val="2"/>
          <w:sz w:val="32"/>
          <w:szCs w:val="32"/>
          <w:lang w:eastAsia="zh-CN"/>
        </w:rPr>
        <w:t>耕地</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亩）；</w:t>
      </w:r>
    </w:p>
    <w:p>
      <w:pPr>
        <w:pStyle w:val="6"/>
        <w:keepNext w:val="0"/>
        <w:keepLines w:val="0"/>
        <w:pageBreakBefore w:val="0"/>
        <w:widowControl w:val="0"/>
        <w:kinsoku/>
        <w:overflowPunct/>
        <w:topLinePunct w:val="0"/>
        <w:autoSpaceDE/>
        <w:autoSpaceDN/>
        <w:bidi w:val="0"/>
        <w:adjustRightInd/>
        <w:snapToGrid/>
        <w:spacing w:line="560" w:lineRule="exact"/>
        <w:ind w:firstLine="632"/>
        <w:jc w:val="both"/>
        <w:textAlignment w:val="auto"/>
        <w:rPr>
          <w:rFonts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4</w:t>
      </w:r>
      <w:r>
        <w:rPr>
          <w:rFonts w:hint="eastAsia" w:ascii="Times New Roman" w:hAnsi="Times New Roman" w:eastAsia="仿宋_GB2312" w:cs="Times New Roman"/>
          <w:snapToGrid/>
          <w:kern w:val="2"/>
          <w:sz w:val="32"/>
          <w:szCs w:val="32"/>
          <w:lang w:val="en-US" w:eastAsia="zh-CN"/>
        </w:rPr>
        <w:t>.</w:t>
      </w:r>
      <w:r>
        <w:rPr>
          <w:rFonts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和平县大坝镇超田村上屋经济合作社农民</w:t>
      </w:r>
      <w:r>
        <w:rPr>
          <w:rFonts w:ascii="Times New Roman" w:hAnsi="Times New Roman" w:eastAsia="仿宋_GB2312" w:cs="Times New Roman"/>
          <w:snapToGrid/>
          <w:kern w:val="2"/>
          <w:sz w:val="32"/>
          <w:szCs w:val="32"/>
          <w:lang w:eastAsia="zh-CN"/>
        </w:rPr>
        <w:t>集体所有土地0.1827公顷（</w:t>
      </w:r>
      <w:r>
        <w:rPr>
          <w:rFonts w:hint="eastAsia" w:ascii="Times New Roman" w:hAnsi="Times New Roman" w:eastAsia="仿宋_GB2312" w:cs="Times New Roman"/>
          <w:snapToGrid/>
          <w:kern w:val="2"/>
          <w:sz w:val="32"/>
          <w:szCs w:val="32"/>
          <w:lang w:eastAsia="zh-CN"/>
        </w:rPr>
        <w:t>2.7405</w:t>
      </w:r>
      <w:r>
        <w:rPr>
          <w:rFonts w:ascii="Times New Roman" w:hAnsi="Times New Roman" w:eastAsia="仿宋_GB2312" w:cs="Times New Roman"/>
          <w:snapToGrid/>
          <w:kern w:val="2"/>
          <w:sz w:val="32"/>
          <w:szCs w:val="32"/>
          <w:lang w:eastAsia="zh-CN"/>
        </w:rPr>
        <w:t>亩）。其中农用地</w:t>
      </w:r>
      <w:r>
        <w:rPr>
          <w:rFonts w:hint="eastAsia" w:ascii="Times New Roman" w:hAnsi="Times New Roman" w:eastAsia="仿宋_GB2312" w:cs="Times New Roman"/>
          <w:snapToGrid/>
          <w:kern w:val="2"/>
          <w:sz w:val="32"/>
          <w:szCs w:val="32"/>
          <w:lang w:eastAsia="zh-CN"/>
        </w:rPr>
        <w:t>0.1827</w:t>
      </w:r>
      <w:r>
        <w:rPr>
          <w:rFonts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（2.7405亩）</w:t>
      </w:r>
      <w:r>
        <w:rPr>
          <w:rFonts w:ascii="Times New Roman" w:hAnsi="Times New Roman" w:eastAsia="仿宋_GB2312" w:cs="Times New Roman"/>
          <w:snapToGrid/>
          <w:kern w:val="2"/>
          <w:sz w:val="32"/>
          <w:szCs w:val="32"/>
          <w:lang w:eastAsia="zh-CN"/>
        </w:rPr>
        <w:t>，</w:t>
      </w:r>
      <w:r>
        <w:rPr>
          <w:rFonts w:hint="eastAsia" w:ascii="Times New Roman" w:hAnsi="Times New Roman" w:eastAsia="仿宋_GB2312" w:cs="Times New Roman"/>
          <w:snapToGrid/>
          <w:kern w:val="2"/>
          <w:sz w:val="32"/>
          <w:szCs w:val="32"/>
          <w:lang w:val="en-US" w:eastAsia="zh-CN"/>
        </w:rPr>
        <w:t>含</w:t>
      </w:r>
      <w:r>
        <w:rPr>
          <w:rFonts w:ascii="Times New Roman" w:hAnsi="Times New Roman" w:eastAsia="仿宋_GB2312" w:cs="Times New Roman"/>
          <w:snapToGrid/>
          <w:kern w:val="2"/>
          <w:sz w:val="32"/>
          <w:szCs w:val="32"/>
          <w:lang w:eastAsia="zh-CN"/>
        </w:rPr>
        <w:t>耕地</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亩）</w:t>
      </w:r>
      <w:r>
        <w:rPr>
          <w:rFonts w:hint="eastAsia" w:ascii="Times New Roman" w:hAnsi="Times New Roman" w:eastAsia="仿宋_GB2312" w:cs="Times New Roman"/>
          <w:snapToGrid/>
          <w:kern w:val="2"/>
          <w:sz w:val="32"/>
          <w:szCs w:val="32"/>
          <w:lang w:eastAsia="zh-CN"/>
        </w:rPr>
        <w:t>；</w:t>
      </w:r>
    </w:p>
    <w:p>
      <w:pPr>
        <w:pStyle w:val="6"/>
        <w:keepNext w:val="0"/>
        <w:keepLines w:val="0"/>
        <w:pageBreakBefore w:val="0"/>
        <w:widowControl w:val="0"/>
        <w:kinsoku/>
        <w:overflowPunct/>
        <w:topLinePunct w:val="0"/>
        <w:autoSpaceDE/>
        <w:autoSpaceDN/>
        <w:bidi w:val="0"/>
        <w:adjustRightInd/>
        <w:snapToGrid/>
        <w:spacing w:line="560" w:lineRule="exact"/>
        <w:ind w:firstLine="632"/>
        <w:jc w:val="both"/>
        <w:textAlignment w:val="auto"/>
        <w:rPr>
          <w:rFonts w:hint="eastAsia" w:ascii="Times New Roman" w:hAnsi="Times New Roman" w:eastAsia="仿宋_GB2312" w:cs="Times New Roman"/>
          <w:snapToGrid/>
          <w:kern w:val="2"/>
          <w:sz w:val="32"/>
          <w:szCs w:val="32"/>
          <w:lang w:val="en-US" w:eastAsia="zh-CN"/>
        </w:rPr>
      </w:pPr>
      <w:r>
        <w:rPr>
          <w:rFonts w:hint="eastAsia" w:ascii="Times New Roman" w:hAnsi="Times New Roman" w:eastAsia="仿宋_GB2312" w:cs="Times New Roman"/>
          <w:snapToGrid/>
          <w:kern w:val="2"/>
          <w:sz w:val="32"/>
          <w:szCs w:val="32"/>
          <w:lang w:eastAsia="zh-CN"/>
        </w:rPr>
        <w:t>5</w:t>
      </w:r>
      <w:r>
        <w:rPr>
          <w:rFonts w:hint="eastAsia" w:ascii="Times New Roman" w:hAnsi="Times New Roman" w:eastAsia="仿宋_GB2312" w:cs="Times New Roman"/>
          <w:snapToGrid/>
          <w:kern w:val="2"/>
          <w:sz w:val="32"/>
          <w:szCs w:val="32"/>
          <w:lang w:val="en-US" w:eastAsia="zh-CN"/>
        </w:rPr>
        <w:t>.</w:t>
      </w:r>
      <w:r>
        <w:rPr>
          <w:rFonts w:ascii="Times New Roman" w:hAnsi="Times New Roman" w:eastAsia="仿宋_GB2312" w:cs="Times New Roman"/>
          <w:snapToGrid/>
          <w:kern w:val="2"/>
          <w:sz w:val="32"/>
          <w:szCs w:val="32"/>
          <w:lang w:eastAsia="zh-CN"/>
        </w:rPr>
        <w:t>拟征收</w:t>
      </w:r>
      <w:r>
        <w:rPr>
          <w:rFonts w:hint="eastAsia" w:ascii="Times New Roman" w:hAnsi="Times New Roman" w:eastAsia="仿宋_GB2312" w:cs="Times New Roman"/>
          <w:snapToGrid/>
          <w:kern w:val="2"/>
          <w:sz w:val="32"/>
          <w:szCs w:val="32"/>
          <w:lang w:eastAsia="zh-CN"/>
        </w:rPr>
        <w:t>和平县大坝镇超田村石街经济合作社农民</w:t>
      </w:r>
      <w:r>
        <w:rPr>
          <w:rFonts w:ascii="Times New Roman" w:hAnsi="Times New Roman" w:eastAsia="仿宋_GB2312" w:cs="Times New Roman"/>
          <w:snapToGrid/>
          <w:kern w:val="2"/>
          <w:sz w:val="32"/>
          <w:szCs w:val="32"/>
          <w:lang w:eastAsia="zh-CN"/>
        </w:rPr>
        <w:t>集体所有土地0.0945公顷（</w:t>
      </w:r>
      <w:r>
        <w:rPr>
          <w:rFonts w:hint="eastAsia" w:ascii="Times New Roman" w:hAnsi="Times New Roman" w:eastAsia="仿宋_GB2312" w:cs="Times New Roman"/>
          <w:snapToGrid/>
          <w:kern w:val="2"/>
          <w:sz w:val="32"/>
          <w:szCs w:val="32"/>
          <w:lang w:eastAsia="zh-CN"/>
        </w:rPr>
        <w:t>1.4175</w:t>
      </w:r>
      <w:r>
        <w:rPr>
          <w:rFonts w:ascii="Times New Roman" w:hAnsi="Times New Roman" w:eastAsia="仿宋_GB2312" w:cs="Times New Roman"/>
          <w:snapToGrid/>
          <w:kern w:val="2"/>
          <w:sz w:val="32"/>
          <w:szCs w:val="32"/>
          <w:lang w:eastAsia="zh-CN"/>
        </w:rPr>
        <w:t>亩）。其中，农用地</w:t>
      </w:r>
      <w:r>
        <w:rPr>
          <w:rFonts w:hint="eastAsia" w:ascii="Times New Roman" w:hAnsi="Times New Roman" w:eastAsia="仿宋_GB2312" w:cs="Times New Roman"/>
          <w:snapToGrid/>
          <w:kern w:val="2"/>
          <w:sz w:val="32"/>
          <w:szCs w:val="32"/>
          <w:lang w:eastAsia="zh-CN"/>
        </w:rPr>
        <w:t>0.0945公顷（1.4175亩）</w:t>
      </w:r>
      <w:r>
        <w:rPr>
          <w:rFonts w:ascii="Times New Roman" w:hAnsi="Times New Roman" w:eastAsia="仿宋_GB2312" w:cs="Times New Roman"/>
          <w:snapToGrid/>
          <w:kern w:val="2"/>
          <w:sz w:val="32"/>
          <w:szCs w:val="32"/>
          <w:lang w:eastAsia="zh-CN"/>
        </w:rPr>
        <w:t>，</w:t>
      </w:r>
      <w:r>
        <w:rPr>
          <w:rFonts w:hint="eastAsia" w:ascii="Times New Roman" w:hAnsi="Times New Roman" w:eastAsia="仿宋_GB2312" w:cs="Times New Roman"/>
          <w:snapToGrid/>
          <w:kern w:val="2"/>
          <w:sz w:val="32"/>
          <w:szCs w:val="32"/>
          <w:lang w:val="en-US" w:eastAsia="zh-CN"/>
        </w:rPr>
        <w:t>含</w:t>
      </w:r>
      <w:r>
        <w:rPr>
          <w:rFonts w:ascii="Times New Roman" w:hAnsi="Times New Roman" w:eastAsia="仿宋_GB2312" w:cs="Times New Roman"/>
          <w:snapToGrid/>
          <w:kern w:val="2"/>
          <w:sz w:val="32"/>
          <w:szCs w:val="32"/>
          <w:lang w:eastAsia="zh-CN"/>
        </w:rPr>
        <w:t>耕地</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公顷（</w:t>
      </w:r>
      <w:r>
        <w:rPr>
          <w:rFonts w:hint="eastAsia" w:ascii="Times New Roman" w:hAnsi="Times New Roman" w:eastAsia="仿宋_GB2312" w:cs="Times New Roman"/>
          <w:snapToGrid/>
          <w:kern w:val="2"/>
          <w:sz w:val="32"/>
          <w:szCs w:val="32"/>
          <w:lang w:eastAsia="zh-CN"/>
        </w:rPr>
        <w:t>0</w:t>
      </w:r>
      <w:r>
        <w:rPr>
          <w:rFonts w:ascii="Times New Roman" w:hAnsi="Times New Roman" w:eastAsia="仿宋_GB2312" w:cs="Times New Roman"/>
          <w:snapToGrid/>
          <w:kern w:val="2"/>
          <w:sz w:val="32"/>
          <w:szCs w:val="32"/>
          <w:lang w:eastAsia="zh-CN"/>
        </w:rPr>
        <w:t>亩）</w:t>
      </w:r>
      <w:r>
        <w:rPr>
          <w:rFonts w:hint="eastAsia" w:ascii="Times New Roman" w:hAnsi="Times New Roman" w:eastAsia="仿宋_GB2312" w:cs="Times New Roman"/>
          <w:snapToGrid/>
          <w:kern w:val="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黑体" w:hAnsi="黑体" w:eastAsia="黑体" w:cs="黑体"/>
          <w:sz w:val="32"/>
          <w:szCs w:val="32"/>
        </w:rPr>
      </w:pPr>
      <w:r>
        <w:rPr>
          <w:rFonts w:hint="default" w:ascii="黑体" w:hAnsi="黑体" w:eastAsia="黑体" w:cs="黑体"/>
          <w:sz w:val="32"/>
          <w:szCs w:val="32"/>
        </w:rPr>
        <w:t>四、补偿方式和标准</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（一）土地补偿费和安置补助费标准</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napToGrid/>
          <w:kern w:val="2"/>
          <w:sz w:val="32"/>
          <w:szCs w:val="32"/>
          <w:lang w:eastAsia="zh-CN"/>
        </w:rPr>
      </w:pPr>
      <w:r>
        <w:rPr>
          <w:rFonts w:hint="eastAsia" w:ascii="仿宋_GB2312" w:hAnsi="仿宋_GB2312" w:eastAsia="仿宋_GB2312" w:cs="仿宋_GB2312"/>
          <w:snapToGrid/>
          <w:kern w:val="2"/>
          <w:sz w:val="32"/>
          <w:szCs w:val="32"/>
          <w:lang w:eastAsia="zh-CN"/>
        </w:rPr>
        <w:t>根据《河源市人民政府关于公布实施征收农用地区片综合地价的公告》（河府〔2024〕12号）的规定，阳明镇土地补偿费标准为</w:t>
      </w:r>
      <w:bookmarkStart w:id="0" w:name="_Hlk176450449"/>
      <w:r>
        <w:rPr>
          <w:rFonts w:hint="eastAsia" w:ascii="仿宋_GB2312" w:hAnsi="仿宋_GB2312" w:eastAsia="仿宋_GB2312" w:cs="仿宋_GB2312"/>
          <w:snapToGrid/>
          <w:kern w:val="2"/>
          <w:sz w:val="32"/>
          <w:szCs w:val="32"/>
          <w:lang w:val="en-US" w:eastAsia="zh-CN"/>
        </w:rPr>
        <w:t>36.2250</w:t>
      </w:r>
      <w:r>
        <w:rPr>
          <w:rFonts w:hint="eastAsia" w:ascii="仿宋_GB2312" w:hAnsi="仿宋_GB2312" w:eastAsia="仿宋_GB2312" w:cs="仿宋_GB2312"/>
          <w:snapToGrid/>
          <w:kern w:val="2"/>
          <w:sz w:val="32"/>
          <w:szCs w:val="32"/>
          <w:lang w:eastAsia="zh-CN"/>
        </w:rPr>
        <w:t>万元/公顷</w:t>
      </w:r>
      <w:bookmarkEnd w:id="0"/>
      <w:r>
        <w:rPr>
          <w:rFonts w:hint="eastAsia" w:ascii="仿宋_GB2312" w:hAnsi="仿宋_GB2312" w:eastAsia="仿宋_GB2312" w:cs="仿宋_GB2312"/>
          <w:snapToGrid/>
          <w:kern w:val="2"/>
          <w:sz w:val="32"/>
          <w:szCs w:val="32"/>
          <w:lang w:eastAsia="zh-CN"/>
        </w:rPr>
        <w:t>，安置补助费标准为</w:t>
      </w:r>
      <w:r>
        <w:rPr>
          <w:rFonts w:hint="eastAsia" w:ascii="仿宋_GB2312" w:hAnsi="仿宋_GB2312" w:eastAsia="仿宋_GB2312" w:cs="仿宋_GB2312"/>
          <w:snapToGrid/>
          <w:kern w:val="2"/>
          <w:sz w:val="32"/>
          <w:szCs w:val="32"/>
          <w:lang w:val="en-US" w:eastAsia="zh-CN"/>
        </w:rPr>
        <w:t>36.2250</w:t>
      </w:r>
      <w:r>
        <w:rPr>
          <w:rFonts w:hint="eastAsia" w:ascii="仿宋_GB2312" w:hAnsi="仿宋_GB2312" w:eastAsia="仿宋_GB2312" w:cs="仿宋_GB2312"/>
          <w:snapToGrid/>
          <w:kern w:val="2"/>
          <w:sz w:val="32"/>
          <w:szCs w:val="32"/>
          <w:lang w:eastAsia="zh-CN"/>
        </w:rPr>
        <w:t>万元/公顷；大坝镇土地补偿费标准为</w:t>
      </w:r>
      <w:r>
        <w:rPr>
          <w:rFonts w:hint="eastAsia" w:ascii="仿宋_GB2312" w:hAnsi="仿宋_GB2312" w:eastAsia="仿宋_GB2312" w:cs="仿宋_GB2312"/>
          <w:snapToGrid/>
          <w:kern w:val="2"/>
          <w:sz w:val="32"/>
          <w:szCs w:val="32"/>
          <w:lang w:val="en-US" w:eastAsia="zh-CN"/>
        </w:rPr>
        <w:t>32.6</w:t>
      </w:r>
      <w:r>
        <w:rPr>
          <w:rFonts w:hint="eastAsia" w:ascii="仿宋_GB2312" w:hAnsi="仿宋_GB2312" w:eastAsia="仿宋_GB2312" w:cs="仿宋_GB2312"/>
          <w:snapToGrid/>
          <w:kern w:val="2"/>
          <w:sz w:val="32"/>
          <w:szCs w:val="32"/>
          <w:lang w:eastAsia="zh-CN"/>
        </w:rPr>
        <w:t>250万元/公顷，安置补助费标准为</w:t>
      </w:r>
      <w:r>
        <w:rPr>
          <w:rFonts w:hint="eastAsia" w:ascii="仿宋_GB2312" w:hAnsi="仿宋_GB2312" w:eastAsia="仿宋_GB2312" w:cs="仿宋_GB2312"/>
          <w:snapToGrid/>
          <w:kern w:val="2"/>
          <w:sz w:val="32"/>
          <w:szCs w:val="32"/>
          <w:lang w:val="en-US" w:eastAsia="zh-CN"/>
        </w:rPr>
        <w:t>32.6</w:t>
      </w:r>
      <w:r>
        <w:rPr>
          <w:rFonts w:hint="eastAsia" w:ascii="仿宋_GB2312" w:hAnsi="仿宋_GB2312" w:eastAsia="仿宋_GB2312" w:cs="仿宋_GB2312"/>
          <w:snapToGrid/>
          <w:kern w:val="2"/>
          <w:sz w:val="32"/>
          <w:szCs w:val="32"/>
          <w:lang w:eastAsia="zh-CN"/>
        </w:rPr>
        <w:t>250万元/公顷（林地和未利用地参照征收农用地区片综合地价设定调节系数0.4执行）。</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（二）农村村民住宅补偿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（三）青苗及其他地上附着物补偿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青苗补偿和其他地上附着物补偿按《赣深高铁（和平段）建设征地补偿安置方案》的规定执行。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黑体" w:hAnsi="黑体" w:eastAsia="黑体" w:cs="黑体"/>
          <w:sz w:val="32"/>
          <w:szCs w:val="32"/>
        </w:rPr>
      </w:pPr>
      <w:r>
        <w:rPr>
          <w:rFonts w:hint="default" w:ascii="黑体" w:hAnsi="黑体" w:eastAsia="黑体" w:cs="黑体"/>
          <w:sz w:val="32"/>
          <w:szCs w:val="32"/>
        </w:rPr>
        <w:t>五、安置对象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黑体" w:hAnsi="黑体" w:eastAsia="黑体" w:cs="黑体"/>
          <w:sz w:val="32"/>
          <w:szCs w:val="32"/>
        </w:rPr>
      </w:pPr>
      <w:r>
        <w:rPr>
          <w:rFonts w:hint="default" w:ascii="黑体" w:hAnsi="黑体" w:eastAsia="黑体" w:cs="黑体"/>
          <w:sz w:val="32"/>
          <w:szCs w:val="32"/>
        </w:rPr>
        <w:t>六、安置方式和社会保障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napToGrid/>
          <w:kern w:val="2"/>
          <w:sz w:val="32"/>
          <w:szCs w:val="32"/>
          <w:lang w:eastAsia="zh-CN"/>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napToGrid/>
          <w:kern w:val="2"/>
          <w:sz w:val="32"/>
          <w:szCs w:val="32"/>
          <w:lang w:eastAsia="zh-CN"/>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根据《广东省人民政府办公厅关于加强征收农村集体土地留用地安置管理工作的意见》（粤府办〔2016〕30号）的规定，按实际征收土地面积的10%安排留用地，留用地兑现方式为折算货币补偿，补偿标准为150万元</w:t>
      </w:r>
      <w:bookmarkStart w:id="1" w:name="_GoBack"/>
      <w:bookmarkEnd w:id="1"/>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公顷。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eastAsia="zh-CN"/>
        </w:rPr>
      </w:pPr>
      <w:r>
        <w:rPr>
          <w:rFonts w:hint="default" w:ascii="Times New Roman" w:hAnsi="Times New Roman" w:eastAsia="楷体_GB2312" w:cs="Times New Roman"/>
          <w:snapToGrid/>
          <w:kern w:val="2"/>
          <w:sz w:val="32"/>
          <w:szCs w:val="32"/>
          <w:lang w:eastAsia="zh-CN"/>
        </w:rPr>
        <w:t>（三）社会保障费用。</w:t>
      </w:r>
      <w:r>
        <w:rPr>
          <w:rFonts w:hint="default" w:ascii="Times New Roman" w:hAnsi="Times New Roman" w:eastAsia="仿宋_GB2312" w:cs="Times New Roman"/>
          <w:snapToGrid/>
          <w:kern w:val="2"/>
          <w:sz w:val="32"/>
          <w:szCs w:val="32"/>
          <w:lang w:eastAsia="zh-CN"/>
        </w:rPr>
        <w:t>根据《广东省人民政府办公厅转发省人力资源社会保障厅关于进一步完善我省被征地农民养老保障政策意见的通知》（粤府办〔2021〕22号）、《</w:t>
      </w:r>
      <w:r>
        <w:rPr>
          <w:rFonts w:hint="default" w:ascii="Times New Roman" w:hAnsi="Times New Roman" w:eastAsia="仿宋_GB2312" w:cs="Times New Roman"/>
          <w:snapToGrid/>
          <w:kern w:val="2"/>
          <w:sz w:val="32"/>
          <w:szCs w:val="32"/>
          <w:lang w:val="en-US" w:eastAsia="zh-CN"/>
        </w:rPr>
        <w:t>河源市人民政府办公室关于进一步完善我市被征地农民养老保障政策的通知</w:t>
      </w:r>
      <w:r>
        <w:rPr>
          <w:rFonts w:hint="default" w:ascii="Times New Roman" w:hAnsi="Times New Roman" w:eastAsia="仿宋_GB2312" w:cs="Times New Roman"/>
          <w:snapToGrid/>
          <w:kern w:val="2"/>
          <w:sz w:val="32"/>
          <w:szCs w:val="32"/>
          <w:lang w:eastAsia="zh-CN"/>
        </w:rPr>
        <w:t>》（</w:t>
      </w:r>
      <w:r>
        <w:rPr>
          <w:rFonts w:hint="default" w:ascii="Times New Roman" w:hAnsi="Times New Roman" w:eastAsia="仿宋_GB2312" w:cs="Times New Roman"/>
          <w:snapToGrid/>
          <w:kern w:val="2"/>
          <w:sz w:val="32"/>
          <w:szCs w:val="32"/>
          <w:lang w:val="en-US" w:eastAsia="zh-CN"/>
        </w:rPr>
        <w:t>河府办</w:t>
      </w:r>
      <w:r>
        <w:rPr>
          <w:rFonts w:hint="default" w:ascii="Times New Roman" w:hAnsi="Times New Roman" w:eastAsia="仿宋_GB2312" w:cs="Times New Roman"/>
          <w:snapToGrid/>
          <w:kern w:val="2"/>
          <w:sz w:val="32"/>
          <w:szCs w:val="32"/>
          <w:lang w:eastAsia="zh-CN"/>
        </w:rPr>
        <w:t>〔2021〕2</w:t>
      </w:r>
      <w:r>
        <w:rPr>
          <w:rFonts w:hint="default"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号）</w:t>
      </w:r>
      <w:r>
        <w:rPr>
          <w:rFonts w:hint="default" w:ascii="Times New Roman" w:hAnsi="Times New Roman" w:eastAsia="仿宋_GB2312" w:cs="Times New Roman"/>
          <w:snapToGrid/>
          <w:kern w:val="2"/>
          <w:sz w:val="32"/>
          <w:szCs w:val="32"/>
          <w:lang w:val="en-US" w:eastAsia="zh-CN"/>
        </w:rPr>
        <w:t>规定</w:t>
      </w:r>
      <w:r>
        <w:rPr>
          <w:rFonts w:hint="eastAsia" w:ascii="仿宋_GB2312" w:hAnsi="仿宋_GB2312" w:eastAsia="仿宋_GB2312" w:cs="仿宋_GB2312"/>
          <w:snapToGrid/>
          <w:kern w:val="2"/>
          <w:sz w:val="32"/>
          <w:szCs w:val="32"/>
          <w:lang w:eastAsia="zh-CN"/>
        </w:rPr>
        <w:t>，</w:t>
      </w:r>
      <w:r>
        <w:rPr>
          <w:rFonts w:hint="default" w:ascii="Times New Roman" w:hAnsi="Times New Roman" w:eastAsia="仿宋_GB2312" w:cs="Times New Roman"/>
          <w:sz w:val="32"/>
          <w:szCs w:val="32"/>
        </w:rPr>
        <w:t>核定该项目按0.909万元/亩的标准一次性计提被征地农民养老保障资金存入“收缴被征地农民养老保障资金过渡户”，费用合计</w:t>
      </w:r>
      <w:r>
        <w:rPr>
          <w:rFonts w:hint="eastAsia" w:ascii="Times New Roman" w:hAnsi="Times New Roman" w:eastAsia="仿宋_GB2312" w:cs="Times New Roman"/>
          <w:sz w:val="32"/>
          <w:szCs w:val="32"/>
        </w:rPr>
        <w:t>72.639</w:t>
      </w: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万元，专款用于被征地农民缴纳养老保险费用</w:t>
      </w:r>
      <w:r>
        <w:rPr>
          <w:rFonts w:hint="eastAsia"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p>
    <w:p>
      <w:pPr>
        <w:keepNext w:val="0"/>
        <w:keepLines w:val="0"/>
        <w:pageBreakBefore w:val="0"/>
        <w:widowControl w:val="0"/>
        <w:kinsoku/>
        <w:wordWrap w:val="0"/>
        <w:overflowPunct/>
        <w:topLinePunct w:val="0"/>
        <w:autoSpaceDE/>
        <w:autoSpaceDN/>
        <w:bidi w:val="0"/>
        <w:adjustRightInd/>
        <w:snapToGrid/>
        <w:spacing w:line="60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r>
        <w:rPr>
          <w:rFonts w:hint="default" w:ascii="Times New Roman" w:hAnsi="Times New Roman" w:eastAsia="仿宋_GB2312" w:cs="Times New Roman"/>
          <w:snapToGrid/>
          <w:kern w:val="2"/>
          <w:sz w:val="32"/>
          <w:szCs w:val="32"/>
          <w:lang w:eastAsia="zh-CN"/>
        </w:rPr>
        <w:t>和平县自然资源局</w:t>
      </w:r>
      <w:r>
        <w:rPr>
          <w:rFonts w:hint="eastAsia" w:ascii="Times New Roman" w:hAnsi="Times New Roman" w:eastAsia="仿宋_GB2312" w:cs="Times New Roman"/>
          <w:snapToGrid/>
          <w:kern w:val="2"/>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60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r>
        <w:rPr>
          <w:rFonts w:hint="default" w:ascii="Times New Roman" w:hAnsi="Times New Roman" w:eastAsia="仿宋_GB2312" w:cs="Times New Roman"/>
          <w:snapToGrid/>
          <w:kern w:val="2"/>
          <w:sz w:val="32"/>
          <w:szCs w:val="32"/>
          <w:lang w:eastAsia="zh-CN"/>
        </w:rPr>
        <w:t>202</w:t>
      </w:r>
      <w:r>
        <w:rPr>
          <w:rFonts w:hint="eastAsia" w:ascii="Times New Roman" w:hAnsi="Times New Roman" w:eastAsia="仿宋_GB2312" w:cs="Times New Roman"/>
          <w:snapToGrid/>
          <w:kern w:val="2"/>
          <w:sz w:val="32"/>
          <w:szCs w:val="32"/>
          <w:lang w:val="en-US" w:eastAsia="zh-CN"/>
        </w:rPr>
        <w:t>4</w:t>
      </w:r>
      <w:r>
        <w:rPr>
          <w:rFonts w:hint="default" w:ascii="Times New Roman" w:hAnsi="Times New Roman" w:eastAsia="仿宋_GB2312" w:cs="Times New Roman"/>
          <w:snapToGrid/>
          <w:kern w:val="2"/>
          <w:sz w:val="32"/>
          <w:szCs w:val="32"/>
          <w:lang w:eastAsia="zh-CN"/>
        </w:rPr>
        <w:t>年</w:t>
      </w:r>
      <w:r>
        <w:rPr>
          <w:rFonts w:hint="eastAsia" w:ascii="Times New Roman" w:hAnsi="Times New Roman" w:eastAsia="仿宋_GB2312" w:cs="Times New Roman"/>
          <w:snapToGrid/>
          <w:kern w:val="2"/>
          <w:sz w:val="32"/>
          <w:szCs w:val="32"/>
          <w:lang w:val="en-US" w:eastAsia="zh-CN"/>
        </w:rPr>
        <w:t>10</w:t>
      </w:r>
      <w:r>
        <w:rPr>
          <w:rFonts w:hint="default" w:ascii="Times New Roman" w:hAnsi="Times New Roman" w:eastAsia="仿宋_GB2312" w:cs="Times New Roman"/>
          <w:snapToGrid/>
          <w:kern w:val="2"/>
          <w:sz w:val="32"/>
          <w:szCs w:val="32"/>
          <w:lang w:eastAsia="zh-CN"/>
        </w:rPr>
        <w:t>月</w:t>
      </w:r>
      <w:r>
        <w:rPr>
          <w:rFonts w:hint="eastAsia" w:ascii="Times New Roman" w:hAnsi="Times New Roman" w:eastAsia="仿宋_GB2312" w:cs="Times New Roman"/>
          <w:snapToGrid/>
          <w:kern w:val="2"/>
          <w:sz w:val="32"/>
          <w:szCs w:val="32"/>
          <w:lang w:val="en-US" w:eastAsia="zh-CN"/>
        </w:rPr>
        <w:t xml:space="preserve">  </w:t>
      </w:r>
      <w:r>
        <w:rPr>
          <w:rFonts w:hint="default" w:ascii="Times New Roman" w:hAnsi="Times New Roman" w:eastAsia="仿宋_GB2312" w:cs="Times New Roman"/>
          <w:snapToGrid/>
          <w:kern w:val="2"/>
          <w:sz w:val="32"/>
          <w:szCs w:val="32"/>
          <w:lang w:eastAsia="zh-CN"/>
        </w:rPr>
        <w:t>日</w:t>
      </w:r>
      <w:r>
        <w:rPr>
          <w:rFonts w:hint="eastAsia" w:ascii="Times New Roman" w:hAnsi="Times New Roman" w:eastAsia="仿宋_GB2312" w:cs="Times New Roman"/>
          <w:snapToGrid/>
          <w:kern w:val="2"/>
          <w:sz w:val="32"/>
          <w:szCs w:val="32"/>
          <w:lang w:val="en-US" w:eastAsia="zh-CN"/>
        </w:rPr>
        <w:t xml:space="preserve">         </w:t>
      </w:r>
    </w:p>
    <w:sectPr>
      <w:footerReference r:id="rId5" w:type="default"/>
      <w:pgSz w:w="11900" w:h="16830"/>
      <w:pgMar w:top="1984" w:right="1474" w:bottom="1871" w:left="1587" w:header="0" w:footer="94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00007A87" w:usb1="80000000" w:usb2="00000008"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390"/>
      <w:rPr>
        <w:rFonts w:ascii="Times New Roman" w:hAnsi="Times New Roman" w:eastAsia="Times New Roman" w:cs="Times New Roman"/>
        <w:sz w:val="14"/>
        <w:szCs w:val="14"/>
      </w:rPr>
    </w:pPr>
    <w:r>
      <w:rPr>
        <w:rFonts w:ascii="Times New Roman" w:hAnsi="Times New Roman" w:eastAsia="Times New Roman" w:cs="Times New Roman"/>
        <w:sz w:val="14"/>
        <w:szCs w:val="14"/>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displayBackgroundShape w:val="true"/>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jI1NDIyN2JiYjIxMTZiM2U0OGRiMzRlZWViMTZlYjgifQ=="/>
  </w:docVars>
  <w:rsids>
    <w:rsidRoot w:val="00000000"/>
    <w:rsid w:val="1CFD7CD1"/>
    <w:rsid w:val="1D315072"/>
    <w:rsid w:val="2FA31E15"/>
    <w:rsid w:val="33212DCB"/>
    <w:rsid w:val="399F7A65"/>
    <w:rsid w:val="42A07674"/>
    <w:rsid w:val="4FFF939A"/>
    <w:rsid w:val="5F9F7420"/>
    <w:rsid w:val="6E0453A6"/>
    <w:rsid w:val="6F7B643F"/>
    <w:rsid w:val="6FFE23FC"/>
    <w:rsid w:val="7C77E67A"/>
    <w:rsid w:val="7DE5ADD5"/>
    <w:rsid w:val="7EF07C34"/>
    <w:rsid w:val="7F6CBAE9"/>
    <w:rsid w:val="AB876804"/>
    <w:rsid w:val="B6F54733"/>
    <w:rsid w:val="BFFFD184"/>
    <w:rsid w:val="CEF5302D"/>
    <w:rsid w:val="DBF71540"/>
    <w:rsid w:val="EFDFDFF4"/>
    <w:rsid w:val="F2AF5A38"/>
    <w:rsid w:val="F2F7625D"/>
    <w:rsid w:val="F975048B"/>
    <w:rsid w:val="FD758A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5">
    <w:name w:val="Body Text Indent"/>
    <w:basedOn w:val="1"/>
    <w:unhideWhenUsed/>
    <w:qFormat/>
    <w:uiPriority w:val="99"/>
    <w:pPr>
      <w:tabs>
        <w:tab w:val="left" w:pos="3120"/>
      </w:tabs>
      <w:spacing w:line="620" w:lineRule="exact"/>
      <w:ind w:firstLine="810"/>
    </w:pPr>
    <w:rPr>
      <w:rFonts w:ascii="仿宋_GB2312" w:eastAsia="仿宋_GB2312"/>
    </w:rPr>
  </w:style>
  <w:style w:type="paragraph" w:styleId="6">
    <w:name w:val="Body Text First Indent 2"/>
    <w:basedOn w:val="5"/>
    <w:unhideWhenUsed/>
    <w:qFormat/>
    <w:uiPriority w:val="99"/>
    <w:pPr>
      <w:ind w:firstLine="420" w:firstLineChars="200"/>
    </w:pPr>
  </w:style>
  <w:style w:type="character" w:styleId="9">
    <w:name w:val="Strong"/>
    <w:basedOn w:val="8"/>
    <w:qFormat/>
    <w:uiPriority w:val="0"/>
    <w:rPr>
      <w:b/>
    </w:rPr>
  </w:style>
  <w:style w:type="table" w:customStyle="1" w:styleId="1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Pages>
  <Words>1412</Words>
  <Characters>1650</Characters>
  <TotalTime>0</TotalTime>
  <ScaleCrop>false</ScaleCrop>
  <LinksUpToDate>false</LinksUpToDate>
  <CharactersWithSpaces>1650</CharactersWithSpaces>
  <Application>WPS Office_11.8.2.10125_F1E327BC-269C-435d-A152-05C5408002CA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2024-09-13T00:08:00Z</dcterms:created>
  <dc:creator>Kingsoft-PDF</dc:creator>
  <cp:lastModifiedBy>zfb</cp:lastModifiedBy>
  <dcterms:modified xsi:type="dcterms:W3CDTF">2024-10-15T17:21:03Z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2024-09-10T16:08:32Z</vt:filetime>
  </property>
  <property fmtid="{D5CDD505-2E9C-101B-9397-08002B2CF9AE}" pid="4" name="UsrData">
    <vt:lpwstr>66dffe7eef774f001fec52d7wl</vt:lpwstr>
  </property>
  <property fmtid="{D5CDD505-2E9C-101B-9397-08002B2CF9AE}" pid="5" name="KSOProductBuildVer">
    <vt:lpwstr>2052-11.8.2.10125</vt:lpwstr>
  </property>
  <property fmtid="{D5CDD505-2E9C-101B-9397-08002B2CF9AE}" pid="6" name="ICV">
    <vt:lpwstr>158985D0F4594499B86770A2485F27C7_13</vt:lpwstr>
  </property>
</Properties>
</file>