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left"/>
        <w:textAlignment w:val="auto"/>
        <w:rPr>
          <w:rFonts w:hint="eastAsia" w:ascii="方正黑体_GBK" w:hAnsi="方正黑体_GBK" w:eastAsia="方正黑体_GBK" w:cs="方正黑体_GBK"/>
          <w:snapToGrid w:val="0"/>
          <w:color w:val="000000"/>
          <w:kern w:val="0"/>
          <w:sz w:val="32"/>
          <w:szCs w:val="32"/>
          <w:highlight w:val="none"/>
          <w:lang w:val="en-US" w:eastAsia="zh-CN"/>
        </w:rPr>
      </w:pPr>
      <w:r>
        <w:rPr>
          <w:rFonts w:hint="default" w:ascii="方正黑体_GBK" w:hAnsi="方正黑体_GBK" w:eastAsia="方正黑体_GBK" w:cs="方正黑体_GBK"/>
          <w:snapToGrid w:val="0"/>
          <w:color w:val="000000"/>
          <w:kern w:val="0"/>
          <w:sz w:val="32"/>
          <w:szCs w:val="32"/>
          <w:highlight w:val="none"/>
          <w:lang w:val="en-US" w:eastAsia="zh-CN"/>
        </w:rPr>
        <w:t>附件</w:t>
      </w:r>
      <w:r>
        <w:rPr>
          <w:rFonts w:hint="eastAsia" w:ascii="方正黑体_GBK" w:hAnsi="方正黑体_GBK" w:eastAsia="方正黑体_GBK" w:cs="方正黑体_GBK"/>
          <w:snapToGrid w:val="0"/>
          <w:color w:val="000000"/>
          <w:kern w:val="0"/>
          <w:sz w:val="32"/>
          <w:szCs w:val="32"/>
          <w:highlight w:val="none"/>
          <w:lang w:val="en-US" w:eastAsia="zh-CN"/>
        </w:rPr>
        <w:t>1</w:t>
      </w:r>
    </w:p>
    <w:p>
      <w:pPr>
        <w:bidi w:val="0"/>
        <w:jc w:val="both"/>
        <w:rPr>
          <w:rFonts w:hint="eastAsia" w:ascii="方正小标宋简体" w:hAnsi="方正小标宋简体" w:eastAsia="方正小标宋简体" w:cs="方正小标宋简体"/>
          <w:sz w:val="32"/>
          <w:szCs w:val="32"/>
          <w:lang w:val="en-US" w:eastAsia="zh-CN"/>
        </w:rPr>
      </w:pPr>
    </w:p>
    <w:p>
      <w:pPr>
        <w:bidi w:val="0"/>
        <w:jc w:val="center"/>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和平县2023年度第十六批次城镇建设用地</w:t>
      </w:r>
    </w:p>
    <w:p>
      <w:pPr>
        <w:bidi w:val="0"/>
        <w:jc w:val="center"/>
        <w:rPr>
          <w:spacing w:val="-6"/>
        </w:rPr>
      </w:pPr>
      <w:r>
        <w:rPr>
          <w:rFonts w:hint="default" w:ascii="Times New Roman" w:hAnsi="Times New Roman" w:eastAsia="方正小标宋简体" w:cs="Times New Roman"/>
          <w:sz w:val="44"/>
          <w:szCs w:val="44"/>
        </w:rPr>
        <w:t>征地补偿安置方案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为实施和平县202</w:t>
      </w:r>
      <w:r>
        <w:rPr>
          <w:rFonts w:hint="eastAsia" w:ascii="Times New Roman" w:hAnsi="Times New Roman" w:eastAsia="仿宋_GB2312" w:cs="Times New Roman"/>
          <w:snapToGrid/>
          <w:kern w:val="2"/>
          <w:sz w:val="32"/>
          <w:szCs w:val="32"/>
          <w:lang w:val="en-US" w:eastAsia="zh-CN"/>
        </w:rPr>
        <w:t>3</w:t>
      </w:r>
      <w:r>
        <w:rPr>
          <w:rFonts w:hint="default" w:ascii="Times New Roman" w:hAnsi="Times New Roman" w:eastAsia="仿宋_GB2312" w:cs="Times New Roman"/>
          <w:snapToGrid/>
          <w:kern w:val="2"/>
          <w:sz w:val="32"/>
          <w:szCs w:val="32"/>
          <w:lang w:eastAsia="zh-CN"/>
        </w:rPr>
        <w:t>年度第</w:t>
      </w:r>
      <w:r>
        <w:rPr>
          <w:rFonts w:hint="eastAsia" w:ascii="Times New Roman" w:hAnsi="Times New Roman" w:eastAsia="仿宋_GB2312" w:cs="Times New Roman"/>
          <w:snapToGrid/>
          <w:kern w:val="2"/>
          <w:sz w:val="32"/>
          <w:szCs w:val="32"/>
          <w:lang w:val="en-US" w:eastAsia="zh-CN"/>
        </w:rPr>
        <w:t>十六</w:t>
      </w:r>
      <w:r>
        <w:rPr>
          <w:rFonts w:hint="default" w:ascii="Times New Roman" w:hAnsi="Times New Roman" w:eastAsia="仿宋_GB2312" w:cs="Times New Roman"/>
          <w:snapToGrid/>
          <w:kern w:val="2"/>
          <w:sz w:val="32"/>
          <w:szCs w:val="32"/>
          <w:lang w:eastAsia="zh-CN"/>
        </w:rPr>
        <w:t>批次城镇建设，和平县人民政府拟征收和平县阳明镇属下的集体土地</w:t>
      </w:r>
      <w:r>
        <w:rPr>
          <w:rFonts w:hint="eastAsia" w:ascii="Times New Roman" w:hAnsi="Times New Roman" w:eastAsia="仿宋_GB2312" w:cs="Times New Roman"/>
          <w:snapToGrid/>
          <w:kern w:val="2"/>
          <w:sz w:val="32"/>
          <w:szCs w:val="32"/>
          <w:lang w:val="en-US" w:eastAsia="zh-CN"/>
        </w:rPr>
        <w:t>6.9191</w:t>
      </w:r>
      <w:r>
        <w:rPr>
          <w:rFonts w:hint="default" w:ascii="Times New Roman" w:hAnsi="Times New Roman" w:eastAsia="仿宋_GB2312" w:cs="Times New Roman"/>
          <w:snapToGrid/>
          <w:kern w:val="2"/>
          <w:sz w:val="32"/>
          <w:szCs w:val="32"/>
          <w:lang w:eastAsia="zh-CN"/>
        </w:rPr>
        <w:t>公顷。根据《中华人民共和国土地管理法》第四十七条、第四十八条，《中华人民共和国土地管理法实施条例》第二十七条、第二十八条，《广东省土地管理条例》第三十条的规定，</w:t>
      </w:r>
      <w:r>
        <w:rPr>
          <w:rFonts w:hint="default" w:ascii="Times New Roman" w:hAnsi="Times New Roman" w:eastAsia="仿宋_GB2312" w:cs="Times New Roman"/>
          <w:sz w:val="32"/>
          <w:szCs w:val="32"/>
        </w:rPr>
        <w:t>结合</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的征收农用地区片综合地价和实际情况，拟定了征地补偿安置方案</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一、征收范围</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z w:val="32"/>
          <w:szCs w:val="32"/>
          <w:highlight w:val="none"/>
        </w:rPr>
        <w:t>征地位置</w:t>
      </w:r>
      <w:r>
        <w:rPr>
          <w:rFonts w:hint="default" w:ascii="Times New Roman" w:hAnsi="Times New Roman" w:eastAsia="仿宋_GB2312" w:cs="Times New Roman"/>
          <w:snapToGrid/>
          <w:kern w:val="2"/>
          <w:sz w:val="32"/>
          <w:szCs w:val="32"/>
          <w:lang w:eastAsia="zh-CN"/>
        </w:rPr>
        <w:t>位于和平县阳明镇大楼村大屋、新农屋经济合作社范围内，具体位置详见附图。</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实际征收土地范围以最终批准文件为准。</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val="en-US" w:eastAsia="zh-CN"/>
        </w:rPr>
      </w:pPr>
      <w:r>
        <w:rPr>
          <w:rFonts w:hint="default" w:ascii="Times New Roman" w:hAnsi="Times New Roman" w:eastAsia="黑体" w:cs="Times New Roman"/>
          <w:snapToGrid/>
          <w:kern w:val="2"/>
          <w:sz w:val="32"/>
          <w:szCs w:val="32"/>
          <w:lang w:eastAsia="zh-CN"/>
        </w:rPr>
        <w:t>二、征收目</w:t>
      </w:r>
      <w:r>
        <w:rPr>
          <w:rFonts w:hint="eastAsia" w:ascii="Times New Roman" w:hAnsi="Times New Roman" w:eastAsia="黑体" w:cs="Times New Roman"/>
          <w:snapToGrid/>
          <w:kern w:val="2"/>
          <w:sz w:val="32"/>
          <w:szCs w:val="32"/>
          <w:lang w:val="en-US" w:eastAsia="zh-CN"/>
        </w:rPr>
        <w:t>的</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Times New Roman" w:hAnsi="Times New Roman" w:eastAsia="仿宋_GB2312" w:cs="Times New Roman"/>
          <w:snapToGrid/>
          <w:kern w:val="2"/>
          <w:sz w:val="32"/>
          <w:szCs w:val="32"/>
          <w:lang w:eastAsia="zh-CN"/>
        </w:rPr>
      </w:pPr>
      <w:r>
        <w:rPr>
          <w:rFonts w:hint="eastAsia" w:ascii="Times New Roman" w:hAnsi="Times New Roman" w:eastAsia="仿宋_GB2312" w:cs="Times New Roman"/>
          <w:snapToGrid/>
          <w:kern w:val="2"/>
          <w:sz w:val="32"/>
          <w:szCs w:val="32"/>
          <w:lang w:eastAsia="zh-CN"/>
        </w:rPr>
        <w:t>根据《中华人民共和国土地管理法》第四十五条的规定，本次征收土地目的为：在土地利用总体规划确定的城镇建设用地范围内，经省级以上人民政府批准由县级以上地方人民政府组织实施的成片开发建设需要用地。</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三、土地现状</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根据拟征收土地现状调查结果，拟征收土地现状为：</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1</w:t>
      </w:r>
      <w:r>
        <w:rPr>
          <w:rFonts w:hint="eastAsia" w:ascii="Times New Roman" w:hAnsi="Times New Roman" w:eastAsia="仿宋_GB2312" w:cs="Times New Roman"/>
          <w:snapToGrid/>
          <w:kern w:val="2"/>
          <w:sz w:val="32"/>
          <w:szCs w:val="32"/>
          <w:lang w:val="en-US" w:eastAsia="zh-CN"/>
        </w:rPr>
        <w:t>.</w:t>
      </w:r>
      <w:r>
        <w:rPr>
          <w:rFonts w:hint="default" w:ascii="Times New Roman" w:hAnsi="Times New Roman" w:eastAsia="仿宋_GB2312" w:cs="Times New Roman"/>
          <w:snapToGrid/>
          <w:kern w:val="2"/>
          <w:sz w:val="32"/>
          <w:szCs w:val="32"/>
          <w:lang w:eastAsia="zh-CN"/>
        </w:rPr>
        <w:t>拟征收</w:t>
      </w:r>
      <w:r>
        <w:rPr>
          <w:rFonts w:hint="eastAsia" w:ascii="Times New Roman" w:hAnsi="Times New Roman" w:eastAsia="仿宋_GB2312" w:cs="Times New Roman"/>
          <w:snapToGrid/>
          <w:kern w:val="2"/>
          <w:sz w:val="32"/>
          <w:szCs w:val="32"/>
          <w:lang w:eastAsia="zh-CN"/>
        </w:rPr>
        <w:t>和平县阳明镇大楼村大屋经济合作社农民</w:t>
      </w:r>
      <w:r>
        <w:rPr>
          <w:rFonts w:hint="default" w:ascii="Times New Roman" w:hAnsi="Times New Roman" w:eastAsia="仿宋_GB2312" w:cs="Times New Roman"/>
          <w:snapToGrid/>
          <w:kern w:val="2"/>
          <w:sz w:val="32"/>
          <w:szCs w:val="32"/>
          <w:lang w:eastAsia="zh-CN"/>
        </w:rPr>
        <w:t>集体所有土地</w:t>
      </w:r>
      <w:r>
        <w:rPr>
          <w:rFonts w:hint="eastAsia" w:ascii="Times New Roman" w:hAnsi="Times New Roman" w:eastAsia="仿宋_GB2312" w:cs="Times New Roman"/>
          <w:snapToGrid/>
          <w:kern w:val="2"/>
          <w:sz w:val="32"/>
          <w:szCs w:val="32"/>
          <w:lang w:eastAsia="zh-CN"/>
        </w:rPr>
        <w:t>1.4774</w:t>
      </w:r>
      <w:r>
        <w:rPr>
          <w:rFonts w:hint="default"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22.1610</w:t>
      </w:r>
      <w:r>
        <w:rPr>
          <w:rFonts w:hint="default" w:ascii="Times New Roman" w:hAnsi="Times New Roman" w:eastAsia="仿宋_GB2312" w:cs="Times New Roman"/>
          <w:snapToGrid/>
          <w:kern w:val="2"/>
          <w:sz w:val="32"/>
          <w:szCs w:val="32"/>
          <w:lang w:eastAsia="zh-CN"/>
        </w:rPr>
        <w:t>亩）。其中，农用地</w:t>
      </w:r>
      <w:r>
        <w:rPr>
          <w:rFonts w:hint="eastAsia" w:ascii="Times New Roman" w:hAnsi="Times New Roman" w:eastAsia="仿宋_GB2312" w:cs="Times New Roman"/>
          <w:snapToGrid/>
          <w:kern w:val="2"/>
          <w:sz w:val="32"/>
          <w:szCs w:val="32"/>
          <w:lang w:eastAsia="zh-CN"/>
        </w:rPr>
        <w:t>1.4772</w:t>
      </w:r>
      <w:r>
        <w:rPr>
          <w:rFonts w:hint="default"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（22.1580亩）</w:t>
      </w:r>
      <w:r>
        <w:rPr>
          <w:rFonts w:hint="default" w:ascii="Times New Roman" w:hAnsi="Times New Roman" w:eastAsia="仿宋_GB2312" w:cs="Times New Roman"/>
          <w:snapToGrid/>
          <w:kern w:val="2"/>
          <w:sz w:val="32"/>
          <w:szCs w:val="32"/>
          <w:lang w:eastAsia="zh-CN"/>
        </w:rPr>
        <w:t>，</w:t>
      </w:r>
      <w:r>
        <w:rPr>
          <w:rFonts w:hint="eastAsia" w:ascii="Times New Roman" w:hAnsi="Times New Roman" w:eastAsia="仿宋_GB2312" w:cs="Times New Roman"/>
          <w:snapToGrid/>
          <w:kern w:val="2"/>
          <w:sz w:val="32"/>
          <w:szCs w:val="32"/>
          <w:lang w:val="en-US" w:eastAsia="zh-CN"/>
        </w:rPr>
        <w:t>含</w:t>
      </w:r>
      <w:r>
        <w:rPr>
          <w:rFonts w:hint="default" w:ascii="Times New Roman" w:hAnsi="Times New Roman" w:eastAsia="仿宋_GB2312" w:cs="Times New Roman"/>
          <w:snapToGrid/>
          <w:kern w:val="2"/>
          <w:sz w:val="32"/>
          <w:szCs w:val="32"/>
          <w:lang w:eastAsia="zh-CN"/>
        </w:rPr>
        <w:t>耕地1.0</w:t>
      </w:r>
      <w:r>
        <w:rPr>
          <w:rFonts w:hint="eastAsia" w:ascii="Times New Roman" w:hAnsi="Times New Roman" w:eastAsia="仿宋_GB2312" w:cs="Times New Roman"/>
          <w:snapToGrid/>
          <w:kern w:val="2"/>
          <w:sz w:val="32"/>
          <w:szCs w:val="32"/>
          <w:lang w:eastAsia="zh-CN"/>
        </w:rPr>
        <w:t>233</w:t>
      </w:r>
      <w:r>
        <w:rPr>
          <w:rFonts w:hint="default"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15.3495</w:t>
      </w:r>
      <w:r>
        <w:rPr>
          <w:rFonts w:hint="default" w:ascii="Times New Roman" w:hAnsi="Times New Roman" w:eastAsia="仿宋_GB2312" w:cs="Times New Roman"/>
          <w:snapToGrid/>
          <w:kern w:val="2"/>
          <w:sz w:val="32"/>
          <w:szCs w:val="32"/>
          <w:lang w:eastAsia="zh-CN"/>
        </w:rPr>
        <w:t>亩）；</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eastAsia" w:ascii="Times New Roman" w:hAnsi="Times New Roman" w:eastAsia="仿宋_GB2312" w:cs="Times New Roman"/>
          <w:snapToGrid/>
          <w:kern w:val="2"/>
          <w:sz w:val="32"/>
          <w:szCs w:val="32"/>
          <w:lang w:eastAsia="zh-CN"/>
        </w:rPr>
        <w:t>2</w:t>
      </w:r>
      <w:r>
        <w:rPr>
          <w:rFonts w:hint="eastAsia" w:ascii="Times New Roman" w:hAnsi="Times New Roman" w:eastAsia="仿宋_GB2312" w:cs="Times New Roman"/>
          <w:snapToGrid/>
          <w:kern w:val="2"/>
          <w:sz w:val="32"/>
          <w:szCs w:val="32"/>
          <w:lang w:val="en-US" w:eastAsia="zh-CN"/>
        </w:rPr>
        <w:t>.</w:t>
      </w:r>
      <w:r>
        <w:rPr>
          <w:rFonts w:hint="default" w:ascii="Times New Roman" w:hAnsi="Times New Roman" w:eastAsia="仿宋_GB2312" w:cs="Times New Roman"/>
          <w:snapToGrid/>
          <w:kern w:val="2"/>
          <w:sz w:val="32"/>
          <w:szCs w:val="32"/>
          <w:lang w:eastAsia="zh-CN"/>
        </w:rPr>
        <w:t>拟征收</w:t>
      </w:r>
      <w:r>
        <w:rPr>
          <w:rFonts w:hint="eastAsia" w:ascii="Times New Roman" w:hAnsi="Times New Roman" w:eastAsia="仿宋_GB2312" w:cs="Times New Roman"/>
          <w:snapToGrid/>
          <w:kern w:val="2"/>
          <w:sz w:val="32"/>
          <w:szCs w:val="32"/>
          <w:lang w:eastAsia="zh-CN"/>
        </w:rPr>
        <w:t>和平县阳明镇大楼村新农屋经济合作社农民</w:t>
      </w:r>
      <w:r>
        <w:rPr>
          <w:rFonts w:hint="default" w:ascii="Times New Roman" w:hAnsi="Times New Roman" w:eastAsia="仿宋_GB2312" w:cs="Times New Roman"/>
          <w:snapToGrid/>
          <w:kern w:val="2"/>
          <w:sz w:val="32"/>
          <w:szCs w:val="32"/>
          <w:lang w:eastAsia="zh-CN"/>
        </w:rPr>
        <w:t>集体所有土地</w:t>
      </w:r>
      <w:r>
        <w:rPr>
          <w:rFonts w:hint="eastAsia" w:ascii="Times New Roman" w:hAnsi="Times New Roman" w:eastAsia="仿宋_GB2312" w:cs="Times New Roman"/>
          <w:snapToGrid/>
          <w:kern w:val="2"/>
          <w:sz w:val="32"/>
          <w:szCs w:val="32"/>
          <w:lang w:eastAsia="zh-CN"/>
        </w:rPr>
        <w:t>5.4417</w:t>
      </w:r>
      <w:r>
        <w:rPr>
          <w:rFonts w:hint="default"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81.6255</w:t>
      </w:r>
      <w:r>
        <w:rPr>
          <w:rFonts w:hint="default" w:ascii="Times New Roman" w:hAnsi="Times New Roman" w:eastAsia="仿宋_GB2312" w:cs="Times New Roman"/>
          <w:snapToGrid/>
          <w:kern w:val="2"/>
          <w:sz w:val="32"/>
          <w:szCs w:val="32"/>
          <w:lang w:eastAsia="zh-CN"/>
        </w:rPr>
        <w:t>亩）。其中，</w:t>
      </w:r>
      <w:r>
        <w:rPr>
          <w:rFonts w:hint="eastAsia" w:ascii="Times New Roman" w:hAnsi="Times New Roman" w:eastAsia="仿宋_GB2312" w:cs="Times New Roman"/>
          <w:snapToGrid/>
          <w:kern w:val="2"/>
          <w:sz w:val="32"/>
          <w:szCs w:val="32"/>
          <w:lang w:val="en-US" w:eastAsia="zh-CN"/>
        </w:rPr>
        <w:t>农用地</w:t>
      </w:r>
      <w:r>
        <w:rPr>
          <w:rFonts w:hint="eastAsia" w:ascii="Times New Roman" w:hAnsi="Times New Roman" w:eastAsia="仿宋_GB2312" w:cs="Times New Roman"/>
          <w:snapToGrid/>
          <w:kern w:val="2"/>
          <w:sz w:val="32"/>
          <w:szCs w:val="32"/>
          <w:lang w:eastAsia="zh-CN"/>
        </w:rPr>
        <w:t>5.2934</w:t>
      </w:r>
      <w:r>
        <w:rPr>
          <w:rFonts w:hint="default"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（79.4010亩）</w:t>
      </w:r>
      <w:r>
        <w:rPr>
          <w:rFonts w:hint="default" w:ascii="Times New Roman" w:hAnsi="Times New Roman" w:eastAsia="仿宋_GB2312" w:cs="Times New Roman"/>
          <w:snapToGrid/>
          <w:kern w:val="2"/>
          <w:sz w:val="32"/>
          <w:szCs w:val="32"/>
          <w:lang w:eastAsia="zh-CN"/>
        </w:rPr>
        <w:t>，</w:t>
      </w:r>
      <w:r>
        <w:rPr>
          <w:rFonts w:hint="eastAsia" w:ascii="Times New Roman" w:hAnsi="Times New Roman" w:eastAsia="仿宋_GB2312" w:cs="Times New Roman"/>
          <w:snapToGrid/>
          <w:kern w:val="2"/>
          <w:sz w:val="32"/>
          <w:szCs w:val="32"/>
          <w:lang w:val="en-US" w:eastAsia="zh-CN"/>
        </w:rPr>
        <w:t>含</w:t>
      </w:r>
      <w:r>
        <w:rPr>
          <w:rFonts w:hint="default" w:ascii="Times New Roman" w:hAnsi="Times New Roman" w:eastAsia="仿宋_GB2312" w:cs="Times New Roman"/>
          <w:snapToGrid/>
          <w:kern w:val="2"/>
          <w:sz w:val="32"/>
          <w:szCs w:val="32"/>
          <w:lang w:eastAsia="zh-CN"/>
        </w:rPr>
        <w:t>耕地1.0586公顷（</w:t>
      </w:r>
      <w:r>
        <w:rPr>
          <w:rFonts w:hint="eastAsia" w:ascii="Times New Roman" w:hAnsi="Times New Roman" w:eastAsia="仿宋_GB2312" w:cs="Times New Roman"/>
          <w:snapToGrid/>
          <w:kern w:val="2"/>
          <w:sz w:val="32"/>
          <w:szCs w:val="32"/>
          <w:lang w:eastAsia="zh-CN"/>
        </w:rPr>
        <w:t>15.8790</w:t>
      </w:r>
      <w:r>
        <w:rPr>
          <w:rFonts w:hint="default" w:ascii="Times New Roman" w:hAnsi="Times New Roman" w:eastAsia="仿宋_GB2312" w:cs="Times New Roman"/>
          <w:snapToGrid/>
          <w:kern w:val="2"/>
          <w:sz w:val="32"/>
          <w:szCs w:val="32"/>
          <w:lang w:eastAsia="zh-CN"/>
        </w:rPr>
        <w:t>亩）</w:t>
      </w:r>
      <w:r>
        <w:rPr>
          <w:rFonts w:hint="eastAsia" w:ascii="Times New Roman" w:hAnsi="Times New Roman" w:eastAsia="仿宋_GB2312" w:cs="Times New Roman"/>
          <w:snapToGrid/>
          <w:kern w:val="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四、补偿方式和标准</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（一）土地补偿费和安置补助费标准</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根据《河源市人民政府关于公布实施征收农用地区片综合地价的公告》（河府〔202</w:t>
      </w:r>
      <w:r>
        <w:rPr>
          <w:rFonts w:hint="eastAsia" w:ascii="Times New Roman" w:hAnsi="Times New Roman" w:eastAsia="仿宋_GB2312" w:cs="Times New Roman"/>
          <w:snapToGrid/>
          <w:kern w:val="2"/>
          <w:sz w:val="32"/>
          <w:szCs w:val="32"/>
          <w:lang w:eastAsia="zh-CN"/>
        </w:rPr>
        <w:t>4</w:t>
      </w:r>
      <w:r>
        <w:rPr>
          <w:rFonts w:hint="default" w:ascii="Times New Roman" w:hAnsi="Times New Roman" w:eastAsia="仿宋_GB2312" w:cs="Times New Roman"/>
          <w:snapToGrid/>
          <w:kern w:val="2"/>
          <w:sz w:val="32"/>
          <w:szCs w:val="32"/>
          <w:lang w:eastAsia="zh-CN"/>
        </w:rPr>
        <w:t>〕1</w:t>
      </w:r>
      <w:r>
        <w:rPr>
          <w:rFonts w:hint="eastAsia" w:ascii="Times New Roman" w:hAnsi="Times New Roman" w:eastAsia="仿宋_GB2312" w:cs="Times New Roman"/>
          <w:snapToGrid/>
          <w:kern w:val="2"/>
          <w:sz w:val="32"/>
          <w:szCs w:val="32"/>
          <w:lang w:eastAsia="zh-CN"/>
        </w:rPr>
        <w:t>2</w:t>
      </w:r>
      <w:r>
        <w:rPr>
          <w:rFonts w:hint="default" w:ascii="Times New Roman" w:hAnsi="Times New Roman" w:eastAsia="仿宋_GB2312" w:cs="Times New Roman"/>
          <w:snapToGrid/>
          <w:kern w:val="2"/>
          <w:sz w:val="32"/>
          <w:szCs w:val="32"/>
          <w:lang w:eastAsia="zh-CN"/>
        </w:rPr>
        <w:t>号）的规定，</w:t>
      </w:r>
      <w:r>
        <w:rPr>
          <w:rFonts w:hint="eastAsia" w:ascii="Times New Roman" w:hAnsi="Times New Roman" w:eastAsia="仿宋_GB2312" w:cs="Times New Roman"/>
          <w:snapToGrid/>
          <w:kern w:val="2"/>
          <w:sz w:val="32"/>
          <w:szCs w:val="32"/>
          <w:lang w:eastAsia="zh-CN"/>
        </w:rPr>
        <w:t>阳明镇</w:t>
      </w:r>
      <w:r>
        <w:rPr>
          <w:rFonts w:hint="default" w:ascii="Times New Roman" w:hAnsi="Times New Roman" w:eastAsia="仿宋_GB2312" w:cs="Times New Roman"/>
          <w:snapToGrid/>
          <w:kern w:val="2"/>
          <w:sz w:val="32"/>
          <w:szCs w:val="32"/>
          <w:lang w:eastAsia="zh-CN"/>
        </w:rPr>
        <w:t>土地补偿费标准为</w:t>
      </w:r>
      <w:bookmarkStart w:id="0" w:name="_Hlk176450449"/>
      <w:r>
        <w:rPr>
          <w:rFonts w:hint="eastAsia" w:ascii="Times New Roman" w:hAnsi="Times New Roman" w:eastAsia="仿宋_GB2312" w:cs="Times New Roman"/>
          <w:snapToGrid/>
          <w:kern w:val="2"/>
          <w:sz w:val="32"/>
          <w:szCs w:val="32"/>
          <w:lang w:val="en-US" w:eastAsia="zh-CN"/>
        </w:rPr>
        <w:t>36.2250</w:t>
      </w:r>
      <w:r>
        <w:rPr>
          <w:rFonts w:hint="default" w:ascii="Times New Roman" w:hAnsi="Times New Roman" w:eastAsia="仿宋_GB2312" w:cs="Times New Roman"/>
          <w:snapToGrid/>
          <w:kern w:val="2"/>
          <w:sz w:val="32"/>
          <w:szCs w:val="32"/>
          <w:lang w:eastAsia="zh-CN"/>
        </w:rPr>
        <w:t>万元/公顷</w:t>
      </w:r>
      <w:bookmarkEnd w:id="0"/>
      <w:r>
        <w:rPr>
          <w:rFonts w:hint="default" w:ascii="Times New Roman" w:hAnsi="Times New Roman" w:eastAsia="仿宋_GB2312" w:cs="Times New Roman"/>
          <w:snapToGrid/>
          <w:kern w:val="2"/>
          <w:sz w:val="32"/>
          <w:szCs w:val="32"/>
          <w:lang w:eastAsia="zh-CN"/>
        </w:rPr>
        <w:t>，安置补助费标准为</w:t>
      </w:r>
      <w:r>
        <w:rPr>
          <w:rFonts w:hint="eastAsia" w:ascii="Times New Roman" w:hAnsi="Times New Roman" w:eastAsia="仿宋_GB2312" w:cs="Times New Roman"/>
          <w:snapToGrid/>
          <w:kern w:val="2"/>
          <w:sz w:val="32"/>
          <w:szCs w:val="32"/>
          <w:lang w:val="en-US" w:eastAsia="zh-CN"/>
        </w:rPr>
        <w:t>36.2250</w:t>
      </w:r>
      <w:r>
        <w:rPr>
          <w:rFonts w:hint="default" w:ascii="Times New Roman" w:hAnsi="Times New Roman" w:eastAsia="仿宋_GB2312" w:cs="Times New Roman"/>
          <w:snapToGrid/>
          <w:kern w:val="2"/>
          <w:sz w:val="32"/>
          <w:szCs w:val="32"/>
          <w:lang w:eastAsia="zh-CN"/>
        </w:rPr>
        <w:t>万元/公顷（林地和未利用地参照征收农用地区片综合地价设定调节系数0.4执行）。</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（二）农村村民住宅补偿</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本项目不涉及农村村民住宅补偿。</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（三）青苗及其他地上附着物补偿</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青苗补偿和其他地上附着物补偿按《赣深高铁（和平段）建设征地补偿安置方案》的规定执行。</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五、安置对象</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六、安置方式和社会保障</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（一）货币安置。</w:t>
      </w:r>
      <w:r>
        <w:rPr>
          <w:rFonts w:hint="default" w:ascii="Times New Roman" w:hAnsi="Times New Roman" w:eastAsia="仿宋_GB2312" w:cs="Times New Roman"/>
          <w:snapToGrid/>
          <w:kern w:val="2"/>
          <w:sz w:val="32"/>
          <w:szCs w:val="32"/>
          <w:lang w:eastAsia="zh-CN"/>
        </w:rPr>
        <w:t>所需费用已包含在土地补偿安置费中。</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（二）留用地安置。</w:t>
      </w:r>
      <w:r>
        <w:rPr>
          <w:rFonts w:hint="default" w:ascii="Times New Roman" w:hAnsi="Times New Roman" w:eastAsia="仿宋_GB2312" w:cs="Times New Roman"/>
          <w:snapToGrid/>
          <w:kern w:val="2"/>
          <w:sz w:val="32"/>
          <w:szCs w:val="32"/>
          <w:lang w:eastAsia="zh-CN"/>
        </w:rPr>
        <w:t>根据《广东省人民政府办公厅关于加强征收农村集体土地留用地安置管理工作的意见》（粤府办〔2016〕30号）的规定，按实际征收土地面积的10%安排留用地，留用地兑现方式为折算货币补偿，补偿标准为150万元</w:t>
      </w:r>
      <w:r>
        <w:rPr>
          <w:rFonts w:hint="eastAsia" w:ascii="Times New Roman" w:hAnsi="Times New Roman" w:eastAsia="仿宋_GB2312" w:cs="Times New Roman"/>
          <w:snapToGrid/>
          <w:kern w:val="2"/>
          <w:sz w:val="32"/>
          <w:szCs w:val="32"/>
          <w:lang w:eastAsia="zh-CN"/>
        </w:rPr>
        <w:t>/</w:t>
      </w:r>
      <w:r>
        <w:rPr>
          <w:rFonts w:hint="default" w:ascii="Times New Roman" w:hAnsi="Times New Roman" w:eastAsia="仿宋_GB2312" w:cs="Times New Roman"/>
          <w:snapToGrid/>
          <w:kern w:val="2"/>
          <w:sz w:val="32"/>
          <w:szCs w:val="32"/>
          <w:lang w:eastAsia="zh-CN"/>
        </w:rPr>
        <w:t>公顷。</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（三）社会保障费用。</w:t>
      </w:r>
      <w:r>
        <w:rPr>
          <w:rFonts w:hint="default" w:ascii="Times New Roman" w:hAnsi="Times New Roman" w:eastAsia="仿宋_GB2312" w:cs="Times New Roman"/>
          <w:snapToGrid/>
          <w:kern w:val="2"/>
          <w:sz w:val="32"/>
          <w:szCs w:val="32"/>
          <w:lang w:eastAsia="zh-CN"/>
        </w:rPr>
        <w:t>根据《广东省人民政府办公厅转发省人力资源社会保障厅关于进一步完善我省被征地农民养老保障政策意见的通知》（粤府办〔2021〕22号）、《</w:t>
      </w:r>
      <w:r>
        <w:rPr>
          <w:rFonts w:hint="default" w:ascii="Times New Roman" w:hAnsi="Times New Roman" w:eastAsia="仿宋_GB2312" w:cs="Times New Roman"/>
          <w:snapToGrid/>
          <w:kern w:val="2"/>
          <w:sz w:val="32"/>
          <w:szCs w:val="32"/>
          <w:lang w:val="en-US" w:eastAsia="zh-CN"/>
        </w:rPr>
        <w:t>河源市人民政府办公室关于进一步完善我市被征地农民养老保障政策的通知</w:t>
      </w:r>
      <w:r>
        <w:rPr>
          <w:rFonts w:hint="default" w:ascii="Times New Roman" w:hAnsi="Times New Roman" w:eastAsia="仿宋_GB2312" w:cs="Times New Roman"/>
          <w:snapToGrid/>
          <w:kern w:val="2"/>
          <w:sz w:val="32"/>
          <w:szCs w:val="32"/>
          <w:lang w:eastAsia="zh-CN"/>
        </w:rPr>
        <w:t>》（</w:t>
      </w:r>
      <w:r>
        <w:rPr>
          <w:rFonts w:hint="default" w:ascii="Times New Roman" w:hAnsi="Times New Roman" w:eastAsia="仿宋_GB2312" w:cs="Times New Roman"/>
          <w:snapToGrid/>
          <w:kern w:val="2"/>
          <w:sz w:val="32"/>
          <w:szCs w:val="32"/>
          <w:lang w:val="en-US" w:eastAsia="zh-CN"/>
        </w:rPr>
        <w:t>河府办</w:t>
      </w:r>
      <w:r>
        <w:rPr>
          <w:rFonts w:hint="default" w:ascii="Times New Roman" w:hAnsi="Times New Roman" w:eastAsia="仿宋_GB2312" w:cs="Times New Roman"/>
          <w:snapToGrid/>
          <w:kern w:val="2"/>
          <w:sz w:val="32"/>
          <w:szCs w:val="32"/>
          <w:lang w:eastAsia="zh-CN"/>
        </w:rPr>
        <w:t>〔2021〕2</w:t>
      </w:r>
      <w:r>
        <w:rPr>
          <w:rFonts w:hint="default" w:ascii="Times New Roman" w:hAnsi="Times New Roman" w:eastAsia="仿宋_GB2312" w:cs="Times New Roman"/>
          <w:snapToGrid/>
          <w:kern w:val="2"/>
          <w:sz w:val="32"/>
          <w:szCs w:val="32"/>
          <w:lang w:val="en-US" w:eastAsia="zh-CN"/>
        </w:rPr>
        <w:t>3</w:t>
      </w:r>
      <w:r>
        <w:rPr>
          <w:rFonts w:hint="default" w:ascii="Times New Roman" w:hAnsi="Times New Roman" w:eastAsia="仿宋_GB2312" w:cs="Times New Roman"/>
          <w:snapToGrid/>
          <w:kern w:val="2"/>
          <w:sz w:val="32"/>
          <w:szCs w:val="32"/>
          <w:lang w:eastAsia="zh-CN"/>
        </w:rPr>
        <w:t>号）</w:t>
      </w:r>
      <w:r>
        <w:rPr>
          <w:rFonts w:hint="default" w:ascii="Times New Roman" w:hAnsi="Times New Roman" w:eastAsia="仿宋_GB2312" w:cs="Times New Roman"/>
          <w:snapToGrid/>
          <w:kern w:val="2"/>
          <w:sz w:val="32"/>
          <w:szCs w:val="32"/>
          <w:lang w:val="en-US" w:eastAsia="zh-CN"/>
        </w:rPr>
        <w:t>规定</w:t>
      </w:r>
      <w:r>
        <w:rPr>
          <w:rFonts w:hint="default" w:ascii="Times New Roman" w:hAnsi="Times New Roman" w:eastAsia="仿宋_GB2312" w:cs="Times New Roman"/>
          <w:snapToGrid/>
          <w:kern w:val="2"/>
          <w:sz w:val="32"/>
          <w:szCs w:val="32"/>
          <w:lang w:eastAsia="zh-CN"/>
        </w:rPr>
        <w:t>，核定该项目按0.909万元/亩的标准一次性计提被征地农民养老保障资金存入“收缴被征地农民养老保障资金过渡户”，费用合计94.3420万元，专款用于被征地农民缴纳养老保险费用。</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p>
    <w:p>
      <w:pPr>
        <w:keepNext w:val="0"/>
        <w:keepLines w:val="0"/>
        <w:pageBreakBefore w:val="0"/>
        <w:widowControl w:val="0"/>
        <w:kinsoku/>
        <w:wordWrap w:val="0"/>
        <w:overflowPunct/>
        <w:topLinePunct w:val="0"/>
        <w:autoSpaceDE/>
        <w:autoSpaceDN/>
        <w:bidi w:val="0"/>
        <w:adjustRightInd/>
        <w:snapToGrid/>
        <w:spacing w:line="580" w:lineRule="exact"/>
        <w:ind w:firstLine="640" w:firstLineChars="200"/>
        <w:jc w:val="right"/>
        <w:textAlignment w:val="auto"/>
        <w:rPr>
          <w:rFonts w:hint="default" w:ascii="Times New Roman" w:hAnsi="Times New Roman" w:eastAsia="仿宋_GB2312" w:cs="Times New Roman"/>
          <w:snapToGrid/>
          <w:kern w:val="2"/>
          <w:sz w:val="32"/>
          <w:szCs w:val="32"/>
          <w:lang w:val="en-US" w:eastAsia="zh-CN"/>
        </w:rPr>
      </w:pPr>
      <w:bookmarkStart w:id="1" w:name="_GoBack"/>
      <w:bookmarkEnd w:id="1"/>
    </w:p>
    <w:sectPr>
      <w:footerReference r:id="rId3" w:type="default"/>
      <w:pgSz w:w="11900" w:h="16830"/>
      <w:pgMar w:top="1984" w:right="1474" w:bottom="1871" w:left="1587" w:header="0" w:footer="949"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黑体_GBK">
    <w:panose1 w:val="02000000000000000000"/>
    <w:charset w:val="86"/>
    <w:family w:val="auto"/>
    <w:pitch w:val="default"/>
    <w:sig w:usb0="A00002BF" w:usb1="38CF7CFA" w:usb2="00082016" w:usb3="00000000" w:csb0="00040001"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390"/>
      <w:rPr>
        <w:rFonts w:ascii="Times New Roman" w:hAnsi="Times New Roman" w:eastAsia="Times New Roman" w:cs="Times New Roman"/>
        <w:sz w:val="14"/>
        <w:szCs w:val="14"/>
      </w:rPr>
    </w:pPr>
    <w:r>
      <w:rPr>
        <w:rFonts w:ascii="Times New Roman" w:hAnsi="Times New Roman" w:eastAsia="Times New Roman" w:cs="Times New Roman"/>
        <w:sz w:val="14"/>
        <w:szCs w:val="14"/>
      </w:rPr>
      <w:t>2</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documentProtection w:enforcement="0"/>
  <w:characterSpacingControl w:val="doNotCompress"/>
  <w:compat>
    <w:spaceForUL/>
    <w:ulTrailSpace/>
    <w:useFELayout/>
    <w:compatSetting w:name="compatibilityMode" w:uri="http://schemas.microsoft.com/office/word" w:val="14"/>
  </w:compat>
  <w:docVars>
    <w:docVar w:name="commondata" w:val="eyJoZGlkIjoiYjI1NDIyN2JiYjIxMTZiM2U0OGRiMzRlZWViMTZlYjgifQ=="/>
  </w:docVars>
  <w:rsids>
    <w:rsidRoot w:val="00000000"/>
    <w:rsid w:val="06844C51"/>
    <w:rsid w:val="0F5B0E92"/>
    <w:rsid w:val="2FA31E15"/>
    <w:rsid w:val="339D43A7"/>
    <w:rsid w:val="383F2CA5"/>
    <w:rsid w:val="3AF718E6"/>
    <w:rsid w:val="3F37649E"/>
    <w:rsid w:val="3F3F2C26"/>
    <w:rsid w:val="3F893F6A"/>
    <w:rsid w:val="4C262DF3"/>
    <w:rsid w:val="52195228"/>
    <w:rsid w:val="5D204D9E"/>
    <w:rsid w:val="5E7AE89E"/>
    <w:rsid w:val="5FEBEC62"/>
    <w:rsid w:val="617158BB"/>
    <w:rsid w:val="6FC72FE1"/>
    <w:rsid w:val="71FE52FD"/>
    <w:rsid w:val="76DF7AC7"/>
    <w:rsid w:val="7DDEE24B"/>
    <w:rsid w:val="7F8E2B7E"/>
    <w:rsid w:val="7FEDA7AB"/>
    <w:rsid w:val="7FEF7754"/>
    <w:rsid w:val="99E72B78"/>
    <w:rsid w:val="9FDF6760"/>
    <w:rsid w:val="ABF54AAD"/>
    <w:rsid w:val="B56B2281"/>
    <w:rsid w:val="B9BC97DF"/>
    <w:rsid w:val="BE8F2BFD"/>
    <w:rsid w:val="D91B3FB7"/>
    <w:rsid w:val="DC7F23EE"/>
    <w:rsid w:val="E62FE66C"/>
    <w:rsid w:val="FF397E93"/>
    <w:rsid w:val="FFF90A4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5">
    <w:name w:val="Body Text Indent"/>
    <w:basedOn w:val="1"/>
    <w:unhideWhenUsed/>
    <w:qFormat/>
    <w:uiPriority w:val="99"/>
    <w:pPr>
      <w:tabs>
        <w:tab w:val="left" w:pos="3120"/>
      </w:tabs>
      <w:spacing w:line="620" w:lineRule="exact"/>
      <w:ind w:firstLine="810"/>
    </w:pPr>
    <w:rPr>
      <w:rFonts w:ascii="仿宋_GB2312" w:eastAsia="仿宋_GB2312"/>
    </w:rPr>
  </w:style>
  <w:style w:type="paragraph" w:styleId="6">
    <w:name w:val="Body Text First Indent 2"/>
    <w:basedOn w:val="5"/>
    <w:unhideWhenUsed/>
    <w:qFormat/>
    <w:uiPriority w:val="99"/>
    <w:pPr>
      <w:ind w:firstLine="420" w:firstLineChars="200"/>
    </w:pPr>
  </w:style>
  <w:style w:type="character" w:styleId="9">
    <w:name w:val="Strong"/>
    <w:basedOn w:val="8"/>
    <w:qFormat/>
    <w:uiPriority w:val="0"/>
    <w:rPr>
      <w:b/>
    </w:rPr>
  </w:style>
  <w:style w:type="table" w:customStyle="1" w:styleId="10">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Pages>
  <Words>1236</Words>
  <Characters>1375</Characters>
  <TotalTime>5</TotalTime>
  <ScaleCrop>false</ScaleCrop>
  <LinksUpToDate>false</LinksUpToDate>
  <CharactersWithSpaces>1375</CharactersWithSpaces>
  <Application>WPS Office_11.1.0.10314_F1E327BC-269C-435d-A152-05C5408002CA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2024-09-13T16:08:00Z</dcterms:created>
  <dc:creator>Kingsoft-PDF</dc:creator>
  <cp:lastModifiedBy>Administrator</cp:lastModifiedBy>
  <dcterms:modified xsi:type="dcterms:W3CDTF">2024-10-16T13:04:46Z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2024-09-10T16:08:32Z</vt:filetime>
  </property>
  <property fmtid="{D5CDD505-2E9C-101B-9397-08002B2CF9AE}" pid="4" name="UsrData">
    <vt:lpwstr>66dffe7eef774f001fec52d7wl</vt:lpwstr>
  </property>
  <property fmtid="{D5CDD505-2E9C-101B-9397-08002B2CF9AE}" pid="5" name="KSOProductBuildVer">
    <vt:lpwstr>2052-11.1.0.10314</vt:lpwstr>
  </property>
  <property fmtid="{D5CDD505-2E9C-101B-9397-08002B2CF9AE}" pid="6" name="ICV">
    <vt:lpwstr>94CFB17180454A88AB87E251B536F65D_13</vt:lpwstr>
  </property>
</Properties>
</file>