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textAlignment w:val="auto"/>
        <w:rPr>
          <w:rFonts w:hint="default" w:ascii="Times New Roman" w:hAnsi="Times New Roman" w:eastAsia="仿宋" w:cs="Times New Roman"/>
          <w:sz w:val="32"/>
          <w:szCs w:val="32"/>
          <w:highlight w:val="none"/>
          <w:lang w:val="en-US" w:eastAsia="zh-CN"/>
        </w:rPr>
      </w:pPr>
      <w:r>
        <w:rPr>
          <w:rFonts w:hint="default" w:ascii="Times New Roman" w:hAnsi="Times New Roman" w:eastAsia="仿宋" w:cs="Times New Roman"/>
          <w:sz w:val="32"/>
          <w:szCs w:val="32"/>
          <w:highlight w:val="none"/>
          <w:lang w:val="en-US" w:eastAsia="zh-CN"/>
        </w:rPr>
        <w:t>附件1</w:t>
      </w:r>
    </w:p>
    <w:p>
      <w:pPr>
        <w:pStyle w:val="2"/>
        <w:keepNext w:val="0"/>
        <w:keepLines w:val="0"/>
        <w:pageBreakBefore w:val="0"/>
        <w:widowControl w:val="0"/>
        <w:kinsoku/>
        <w:wordWrap/>
        <w:overflowPunct/>
        <w:topLinePunct w:val="0"/>
        <w:autoSpaceDE/>
        <w:autoSpaceDN/>
        <w:bidi w:val="0"/>
        <w:adjustRightInd/>
        <w:snapToGrid/>
        <w:spacing w:line="580" w:lineRule="exact"/>
        <w:textAlignment w:val="auto"/>
        <w:rPr>
          <w:rFonts w:hint="default"/>
          <w:lang w:val="en-US" w:eastAsia="zh-CN"/>
        </w:rPr>
      </w:pPr>
    </w:p>
    <w:p>
      <w:pPr>
        <w:keepNext w:val="0"/>
        <w:keepLines w:val="0"/>
        <w:pageBreakBefore w:val="0"/>
        <w:widowControl/>
        <w:shd w:val="clear" w:color="auto" w:fill="FFFFFF"/>
        <w:kinsoku/>
        <w:wordWrap/>
        <w:overflowPunct/>
        <w:topLinePunct w:val="0"/>
        <w:autoSpaceDE/>
        <w:autoSpaceDN/>
        <w:bidi w:val="0"/>
        <w:adjustRightInd/>
        <w:snapToGrid/>
        <w:spacing w:line="800" w:lineRule="exact"/>
        <w:jc w:val="center"/>
        <w:textAlignment w:val="auto"/>
        <w:rPr>
          <w:rFonts w:hint="eastAsia" w:ascii="方正小标宋简体" w:hAnsi="方正小标宋简体" w:eastAsia="方正小标宋简体" w:cs="方正小标宋简体"/>
          <w:color w:val="000000"/>
          <w:kern w:val="0"/>
          <w:sz w:val="44"/>
          <w:szCs w:val="44"/>
          <w:shd w:val="clear" w:color="auto" w:fill="FFFFFF"/>
          <w:lang w:val="en-US" w:eastAsia="zh-CN" w:bidi="ar"/>
        </w:rPr>
      </w:pPr>
      <w:r>
        <w:rPr>
          <w:rFonts w:hint="eastAsia" w:ascii="方正小标宋简体" w:hAnsi="方正小标宋简体" w:eastAsia="方正小标宋简体" w:cs="方正小标宋简体"/>
          <w:color w:val="000000"/>
          <w:kern w:val="0"/>
          <w:sz w:val="44"/>
          <w:szCs w:val="44"/>
          <w:shd w:val="clear" w:color="auto" w:fill="FFFFFF"/>
          <w:lang w:val="en-US" w:eastAsia="zh-CN" w:bidi="ar"/>
        </w:rPr>
        <w:t>和平县2024年度第十二批次城镇建设用地</w:t>
      </w:r>
    </w:p>
    <w:p>
      <w:pPr>
        <w:keepNext w:val="0"/>
        <w:keepLines w:val="0"/>
        <w:pageBreakBefore w:val="0"/>
        <w:widowControl/>
        <w:shd w:val="clear" w:color="auto" w:fill="FFFFFF"/>
        <w:kinsoku/>
        <w:wordWrap/>
        <w:overflowPunct/>
        <w:topLinePunct w:val="0"/>
        <w:autoSpaceDE/>
        <w:autoSpaceDN/>
        <w:bidi w:val="0"/>
        <w:adjustRightInd/>
        <w:snapToGrid/>
        <w:spacing w:line="800" w:lineRule="exact"/>
        <w:jc w:val="center"/>
        <w:textAlignment w:val="auto"/>
        <w:rPr>
          <w:rFonts w:hint="eastAsia" w:ascii="方正小标宋简体" w:hAnsi="方正小标宋简体" w:eastAsia="方正小标宋简体" w:cs="方正小标宋简体"/>
          <w:color w:val="000000"/>
          <w:kern w:val="0"/>
          <w:sz w:val="44"/>
          <w:szCs w:val="44"/>
          <w:shd w:val="clear" w:color="auto" w:fill="FFFFFF"/>
          <w:lang w:val="en-US" w:eastAsia="zh-CN" w:bidi="ar"/>
        </w:rPr>
      </w:pPr>
      <w:r>
        <w:rPr>
          <w:rFonts w:hint="eastAsia" w:ascii="方正小标宋简体" w:hAnsi="方正小标宋简体" w:eastAsia="方正小标宋简体" w:cs="方正小标宋简体"/>
          <w:color w:val="000000"/>
          <w:kern w:val="0"/>
          <w:sz w:val="44"/>
          <w:szCs w:val="44"/>
          <w:shd w:val="clear" w:color="auto" w:fill="FFFFFF"/>
          <w:lang w:val="en-US" w:eastAsia="zh-CN" w:bidi="ar"/>
        </w:rPr>
        <w:t>征地补偿安置方案</w:t>
      </w:r>
    </w:p>
    <w:p>
      <w:pPr>
        <w:pStyle w:val="2"/>
        <w:keepNext w:val="0"/>
        <w:keepLines w:val="0"/>
        <w:pageBreakBefore w:val="0"/>
        <w:widowControl w:val="0"/>
        <w:kinsoku/>
        <w:wordWrap/>
        <w:overflowPunct/>
        <w:topLinePunct w:val="0"/>
        <w:autoSpaceDE/>
        <w:autoSpaceDN/>
        <w:bidi w:val="0"/>
        <w:adjustRightInd/>
        <w:snapToGrid/>
        <w:spacing w:line="580" w:lineRule="exact"/>
        <w:ind w:left="23"/>
        <w:textAlignment w:val="auto"/>
        <w:rPr>
          <w:rFonts w:hint="eastAsia"/>
          <w:lang w:val="en-US" w:eastAsia="zh-CN"/>
        </w:rPr>
      </w:pPr>
    </w:p>
    <w:p>
      <w:pPr>
        <w:keepNext w:val="0"/>
        <w:keepLines w:val="0"/>
        <w:pageBreakBefore w:val="0"/>
        <w:widowControl w:val="0"/>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sz w:val="32"/>
          <w:szCs w:val="32"/>
          <w:lang w:val="en-US" w:eastAsia="zh-CN"/>
        </w:rPr>
      </w:pPr>
      <w:r>
        <w:rPr>
          <w:rFonts w:hint="default" w:ascii="Times New Roman" w:hAnsi="Times New Roman" w:eastAsia="仿宋_GB2312" w:cs="Times New Roman"/>
          <w:sz w:val="32"/>
          <w:szCs w:val="32"/>
        </w:rPr>
        <w:t>为实施和平县202</w:t>
      </w:r>
      <w:r>
        <w:rPr>
          <w:rFonts w:hint="eastAsia" w:ascii="Times New Roman" w:hAnsi="Times New Roman" w:eastAsia="仿宋_GB2312" w:cs="Times New Roman"/>
          <w:sz w:val="32"/>
          <w:szCs w:val="32"/>
          <w:lang w:val="en-US" w:eastAsia="zh-CN"/>
        </w:rPr>
        <w:t>4</w:t>
      </w:r>
      <w:r>
        <w:rPr>
          <w:rFonts w:hint="default" w:ascii="Times New Roman" w:hAnsi="Times New Roman" w:eastAsia="仿宋_GB2312" w:cs="Times New Roman"/>
          <w:sz w:val="32"/>
          <w:szCs w:val="32"/>
        </w:rPr>
        <w:t>年度第</w:t>
      </w:r>
      <w:r>
        <w:rPr>
          <w:rFonts w:hint="eastAsia" w:eastAsia="仿宋_GB2312" w:cs="Times New Roman"/>
          <w:sz w:val="32"/>
          <w:szCs w:val="32"/>
          <w:lang w:val="en-US" w:eastAsia="zh-CN"/>
        </w:rPr>
        <w:t>十</w:t>
      </w:r>
      <w:r>
        <w:rPr>
          <w:rFonts w:hint="eastAsia" w:ascii="Times New Roman" w:hAnsi="Times New Roman" w:eastAsia="仿宋_GB2312" w:cs="Times New Roman"/>
          <w:sz w:val="32"/>
          <w:szCs w:val="32"/>
          <w:lang w:val="en-US" w:eastAsia="zh-CN"/>
        </w:rPr>
        <w:t>二</w:t>
      </w:r>
      <w:r>
        <w:rPr>
          <w:rFonts w:hint="default" w:ascii="Times New Roman" w:hAnsi="Times New Roman" w:eastAsia="仿宋_GB2312" w:cs="Times New Roman"/>
          <w:sz w:val="32"/>
          <w:szCs w:val="32"/>
        </w:rPr>
        <w:t>批次城镇建设，</w:t>
      </w:r>
      <w:r>
        <w:rPr>
          <w:rFonts w:hint="default" w:ascii="Times New Roman" w:hAnsi="Times New Roman" w:eastAsia="仿宋_GB2312" w:cs="Times New Roman"/>
          <w:sz w:val="32"/>
          <w:szCs w:val="32"/>
          <w:lang w:val="en-US" w:eastAsia="zh-CN"/>
        </w:rPr>
        <w:t>和平县</w:t>
      </w:r>
      <w:r>
        <w:rPr>
          <w:rFonts w:hint="default" w:ascii="Times New Roman" w:hAnsi="Times New Roman" w:eastAsia="仿宋_GB2312" w:cs="Times New Roman"/>
          <w:sz w:val="32"/>
          <w:szCs w:val="32"/>
        </w:rPr>
        <w:t>人民政府拟征收</w:t>
      </w:r>
      <w:r>
        <w:rPr>
          <w:rFonts w:hint="default" w:ascii="Times New Roman" w:hAnsi="Times New Roman" w:eastAsia="仿宋_GB2312" w:cs="Times New Roman"/>
          <w:sz w:val="32"/>
          <w:szCs w:val="32"/>
          <w:lang w:val="en-US" w:eastAsia="zh-CN"/>
        </w:rPr>
        <w:t>和平县</w:t>
      </w:r>
      <w:r>
        <w:rPr>
          <w:rFonts w:hint="eastAsia" w:ascii="Times New Roman" w:hAnsi="Times New Roman" w:eastAsia="仿宋_GB2312" w:cs="Times New Roman"/>
          <w:sz w:val="32"/>
          <w:szCs w:val="32"/>
          <w:lang w:val="en-US" w:eastAsia="zh-CN"/>
        </w:rPr>
        <w:t>阳明镇</w:t>
      </w:r>
      <w:r>
        <w:rPr>
          <w:rFonts w:hint="default" w:ascii="Times New Roman" w:hAnsi="Times New Roman" w:eastAsia="仿宋_GB2312" w:cs="Times New Roman"/>
          <w:sz w:val="32"/>
          <w:szCs w:val="32"/>
        </w:rPr>
        <w:t>属下的集体土地</w:t>
      </w:r>
      <w:r>
        <w:rPr>
          <w:rFonts w:hint="eastAsia" w:ascii="Times New Roman" w:hAnsi="Times New Roman" w:eastAsia="仿宋_GB2312" w:cs="Times New Roman"/>
          <w:color w:val="auto"/>
          <w:sz w:val="32"/>
          <w:szCs w:val="32"/>
          <w:highlight w:val="none"/>
          <w:lang w:val="en-US" w:eastAsia="zh-CN"/>
        </w:rPr>
        <w:t>2.0578</w:t>
      </w:r>
      <w:r>
        <w:rPr>
          <w:rFonts w:hint="default" w:ascii="Times New Roman" w:hAnsi="Times New Roman" w:eastAsia="仿宋_GB2312" w:cs="Times New Roman"/>
          <w:sz w:val="32"/>
          <w:szCs w:val="32"/>
        </w:rPr>
        <w:t>公顷。</w:t>
      </w:r>
      <w:r>
        <w:rPr>
          <w:rFonts w:hint="default" w:ascii="Times New Roman" w:hAnsi="Times New Roman" w:eastAsia="仿宋_GB2312" w:cs="Times New Roman"/>
          <w:sz w:val="32"/>
          <w:szCs w:val="32"/>
          <w:highlight w:val="none"/>
        </w:rPr>
        <w:t>根据《中华人民共和国土地管理法》</w:t>
      </w:r>
      <w:r>
        <w:rPr>
          <w:rFonts w:hint="default" w:ascii="Times New Roman" w:hAnsi="Times New Roman" w:eastAsia="仿宋_GB2312" w:cs="Times New Roman"/>
          <w:sz w:val="32"/>
          <w:szCs w:val="32"/>
        </w:rPr>
        <w:t>第四十七条、第四十八条，《中华人民共和国土地管理法实施条例》第二十七条、第二十八条，《广东省土地管理条例》第三十条的规定，结合和平县的征收农用地区片综合地价和实际情况，拟定了征地补偿安置方案</w:t>
      </w:r>
      <w:r>
        <w:rPr>
          <w:rFonts w:hint="default" w:ascii="Times New Roman" w:hAnsi="Times New Roman" w:eastAsia="仿宋_GB2312" w:cs="Times New Roman"/>
          <w:sz w:val="32"/>
          <w:szCs w:val="32"/>
          <w:lang w:eastAsia="zh-CN"/>
        </w:rPr>
        <w:t>。</w:t>
      </w:r>
      <w:r>
        <w:rPr>
          <w:rFonts w:hint="default" w:ascii="Times New Roman" w:hAnsi="Times New Roman" w:eastAsia="仿宋_GB2312" w:cs="Times New Roman"/>
          <w:sz w:val="32"/>
          <w:szCs w:val="32"/>
          <w:lang w:val="en-US" w:eastAsia="zh-CN"/>
        </w:rPr>
        <w:t xml:space="preserve">  </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一、征收范围</w:t>
      </w:r>
    </w:p>
    <w:p>
      <w:pPr>
        <w:keepNext w:val="0"/>
        <w:keepLines w:val="0"/>
        <w:pageBreakBefore w:val="0"/>
        <w:widowControl w:val="0"/>
        <w:kinsoku/>
        <w:wordWrap/>
        <w:overflowPunct/>
        <w:topLinePunct w:val="0"/>
        <w:autoSpaceDE/>
        <w:autoSpaceDN/>
        <w:bidi w:val="0"/>
        <w:adjustRightInd/>
        <w:snapToGrid w:val="0"/>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拟征收土地位于</w:t>
      </w:r>
      <w:r>
        <w:rPr>
          <w:rFonts w:hint="default" w:ascii="Times New Roman" w:hAnsi="Times New Roman" w:eastAsia="仿宋_GB2312" w:cs="Times New Roman"/>
          <w:sz w:val="32"/>
        </w:rPr>
        <w:t>和平县阳明镇均联村老屋</w:t>
      </w:r>
      <w:r>
        <w:rPr>
          <w:rFonts w:hint="eastAsia" w:ascii="Times New Roman" w:hAnsi="Times New Roman" w:eastAsia="仿宋_GB2312" w:cs="Times New Roman"/>
          <w:sz w:val="32"/>
          <w:lang w:eastAsia="zh-CN"/>
        </w:rPr>
        <w:t>、</w:t>
      </w:r>
      <w:r>
        <w:rPr>
          <w:rFonts w:hint="default" w:ascii="Times New Roman" w:hAnsi="Times New Roman" w:eastAsia="仿宋_GB2312" w:cs="Times New Roman"/>
          <w:sz w:val="32"/>
        </w:rPr>
        <w:t>新屋</w:t>
      </w:r>
      <w:r>
        <w:rPr>
          <w:rFonts w:hint="eastAsia" w:ascii="Times New Roman" w:hAnsi="Times New Roman" w:eastAsia="仿宋_GB2312" w:cs="Times New Roman"/>
          <w:sz w:val="32"/>
          <w:lang w:eastAsia="zh-CN"/>
        </w:rPr>
        <w:t>、</w:t>
      </w:r>
      <w:r>
        <w:rPr>
          <w:rFonts w:hint="default" w:ascii="Times New Roman" w:hAnsi="Times New Roman" w:eastAsia="仿宋_GB2312" w:cs="Times New Roman"/>
          <w:sz w:val="32"/>
        </w:rPr>
        <w:t>中心屋经济合作社</w:t>
      </w:r>
      <w:r>
        <w:rPr>
          <w:rFonts w:hint="eastAsia" w:eastAsia="仿宋_GB2312" w:cs="Times New Roman"/>
          <w:sz w:val="32"/>
          <w:lang w:eastAsia="zh-CN"/>
        </w:rPr>
        <w:t>；</w:t>
      </w:r>
      <w:r>
        <w:rPr>
          <w:rFonts w:hint="default" w:ascii="Times New Roman" w:hAnsi="Times New Roman" w:eastAsia="仿宋_GB2312" w:cs="Times New Roman"/>
          <w:sz w:val="32"/>
          <w:lang w:eastAsia="zh-CN"/>
        </w:rPr>
        <w:t>阳明镇均上村博头</w:t>
      </w:r>
      <w:r>
        <w:rPr>
          <w:rFonts w:hint="eastAsia" w:ascii="Times New Roman" w:hAnsi="Times New Roman" w:eastAsia="仿宋_GB2312" w:cs="Times New Roman"/>
          <w:sz w:val="32"/>
          <w:lang w:eastAsia="zh-CN"/>
        </w:rPr>
        <w:t>、</w:t>
      </w:r>
      <w:r>
        <w:rPr>
          <w:rFonts w:hint="default" w:ascii="Times New Roman" w:hAnsi="Times New Roman" w:eastAsia="仿宋_GB2312" w:cs="Times New Roman"/>
          <w:sz w:val="32"/>
          <w:lang w:eastAsia="zh-CN"/>
        </w:rPr>
        <w:t>隔里经济合作社</w:t>
      </w:r>
      <w:r>
        <w:rPr>
          <w:rFonts w:hint="default" w:ascii="Times New Roman" w:hAnsi="Times New Roman" w:eastAsia="仿宋_GB2312" w:cs="Times New Roman"/>
          <w:sz w:val="32"/>
          <w:szCs w:val="32"/>
          <w:highlight w:val="none"/>
          <w:lang w:val="en-US" w:eastAsia="zh-CN"/>
        </w:rPr>
        <w:t>范围内</w:t>
      </w:r>
      <w:r>
        <w:rPr>
          <w:rFonts w:hint="default"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rPr>
        <w:t>具体位置详见附图。</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实际征收土地范围以最终批准文件为准。</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二、征收目的</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eastAsia" w:ascii="Times New Roman" w:hAnsi="Times New Roman" w:eastAsia="仿宋_GB2312" w:cs="Times New Roman"/>
          <w:color w:val="auto"/>
          <w:sz w:val="32"/>
          <w:szCs w:val="32"/>
          <w:highlight w:val="none"/>
          <w:lang w:eastAsia="zh-CN"/>
        </w:rPr>
      </w:pPr>
      <w:r>
        <w:rPr>
          <w:rFonts w:hint="default" w:ascii="Times New Roman" w:hAnsi="Times New Roman" w:eastAsia="仿宋_GB2312" w:cs="Times New Roman"/>
          <w:color w:val="auto"/>
          <w:sz w:val="32"/>
          <w:szCs w:val="32"/>
          <w:highlight w:val="none"/>
        </w:rPr>
        <w:t>根据《中华人民共和国土地管理法》第四十五条的规定，本次征收土地目的为新建铁路赣州至深圳客运专线</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sz w:val="32"/>
          <w:szCs w:val="32"/>
          <w:highlight w:val="none"/>
          <w:lang w:eastAsia="zh-CN"/>
        </w:rPr>
        <w:t>和平段</w:t>
      </w:r>
      <w:r>
        <w:rPr>
          <w:rFonts w:hint="eastAsia" w:ascii="Times New Roman" w:hAnsi="Times New Roman" w:eastAsia="仿宋_GB2312" w:cs="Times New Roman"/>
          <w:sz w:val="32"/>
          <w:szCs w:val="32"/>
          <w:highlight w:val="none"/>
          <w:lang w:eastAsia="zh-CN"/>
        </w:rPr>
        <w:t>）</w:t>
      </w:r>
      <w:r>
        <w:rPr>
          <w:rFonts w:hint="default" w:ascii="Times New Roman" w:hAnsi="Times New Roman" w:eastAsia="仿宋_GB2312" w:cs="Times New Roman"/>
          <w:color w:val="auto"/>
          <w:sz w:val="32"/>
          <w:szCs w:val="32"/>
          <w:highlight w:val="none"/>
        </w:rPr>
        <w:t>建设用地</w:t>
      </w:r>
      <w:r>
        <w:rPr>
          <w:rFonts w:hint="eastAsia" w:eastAsia="仿宋_GB2312" w:cs="Times New Roman"/>
          <w:color w:val="auto"/>
          <w:sz w:val="32"/>
          <w:szCs w:val="32"/>
          <w:highlight w:val="none"/>
          <w:lang w:val="en-US" w:eastAsia="zh-CN"/>
        </w:rPr>
        <w:t>的</w:t>
      </w:r>
      <w:r>
        <w:rPr>
          <w:rFonts w:hint="default" w:ascii="Times New Roman" w:hAnsi="Times New Roman" w:eastAsia="仿宋_GB2312" w:cs="Times New Roman"/>
          <w:color w:val="auto"/>
          <w:sz w:val="32"/>
          <w:szCs w:val="32"/>
          <w:highlight w:val="none"/>
        </w:rPr>
        <w:t>安置用地建设项目</w:t>
      </w:r>
      <w:r>
        <w:rPr>
          <w:rFonts w:hint="eastAsia" w:eastAsia="仿宋_GB2312" w:cs="Times New Roman"/>
          <w:color w:val="auto"/>
          <w:sz w:val="32"/>
          <w:szCs w:val="32"/>
          <w:highlight w:val="none"/>
          <w:lang w:eastAsia="zh-CN"/>
        </w:rPr>
        <w:t>。</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三、土地现状</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lang w:eastAsia="zh-CN"/>
        </w:rPr>
      </w:pPr>
      <w:r>
        <w:rPr>
          <w:rFonts w:hint="default" w:ascii="Times New Roman" w:hAnsi="Times New Roman" w:eastAsia="仿宋_GB2312" w:cs="Times New Roman"/>
          <w:sz w:val="32"/>
          <w:szCs w:val="32"/>
        </w:rPr>
        <w:t>根据拟征收土地现状调查结果，拟征收土地现状为：</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color w:val="auto"/>
          <w:sz w:val="32"/>
          <w:szCs w:val="32"/>
          <w:highlight w:val="none"/>
          <w:lang w:eastAsia="zh-CN"/>
        </w:rPr>
      </w:pPr>
      <w:r>
        <w:rPr>
          <w:rFonts w:hint="default" w:ascii="Times New Roman" w:hAnsi="Times New Roman" w:eastAsia="仿宋" w:cs="Times New Roman"/>
          <w:sz w:val="32"/>
          <w:szCs w:val="32"/>
          <w:shd w:val="clear" w:color="auto" w:fill="FFFFFF"/>
          <w:lang w:val="en-US" w:eastAsia="zh-CN"/>
        </w:rPr>
        <w:t>1.</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和平县阳明镇均联村老屋经济合作社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0.4866</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7.299</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0.4866</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7.2990</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含耕地0.3792公顷（5.688</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lang w:val="en-US" w:eastAsia="zh-CN"/>
        </w:rPr>
        <w:t>亩）</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2.</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和平县阳明镇均联村新屋经济合作社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0.5792</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8.688</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0.5792</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8.688</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lang w:val="en-US" w:eastAsia="zh-CN"/>
        </w:rPr>
        <w:t>公顷（</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lang w:val="en-US" w:eastAsia="zh-CN"/>
        </w:rPr>
        <w:t>亩）</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3.</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和平县阳明镇均联村中心屋经济合作社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0.092</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1.38</w:t>
      </w:r>
      <w:r>
        <w:rPr>
          <w:rFonts w:hint="eastAsia" w:eastAsia="仿宋_GB2312" w:cs="Times New Roman"/>
          <w:color w:val="auto"/>
          <w:sz w:val="32"/>
          <w:szCs w:val="32"/>
          <w:highlight w:val="none"/>
          <w:lang w:val="en-US" w:eastAsia="zh-CN"/>
        </w:rPr>
        <w:t>00</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0.092</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1.38</w:t>
      </w:r>
      <w:r>
        <w:rPr>
          <w:rFonts w:hint="eastAsia" w:eastAsia="仿宋_GB2312" w:cs="Times New Roman"/>
          <w:color w:val="auto"/>
          <w:sz w:val="32"/>
          <w:szCs w:val="32"/>
          <w:highlight w:val="none"/>
          <w:lang w:val="en-US" w:eastAsia="zh-CN"/>
        </w:rPr>
        <w:t>00</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含耕地0.048</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lang w:val="en-US" w:eastAsia="zh-CN"/>
        </w:rPr>
        <w:t>公顷（0.72</w:t>
      </w:r>
      <w:r>
        <w:rPr>
          <w:rFonts w:hint="eastAsia" w:eastAsia="仿宋_GB2312" w:cs="Times New Roman"/>
          <w:color w:val="auto"/>
          <w:sz w:val="32"/>
          <w:szCs w:val="32"/>
          <w:highlight w:val="none"/>
          <w:lang w:val="en-US" w:eastAsia="zh-CN"/>
        </w:rPr>
        <w:t>00</w:t>
      </w:r>
      <w:r>
        <w:rPr>
          <w:rFonts w:hint="default" w:ascii="Times New Roman" w:hAnsi="Times New Roman" w:eastAsia="仿宋_GB2312" w:cs="Times New Roman"/>
          <w:color w:val="auto"/>
          <w:sz w:val="32"/>
          <w:szCs w:val="32"/>
          <w:highlight w:val="none"/>
          <w:lang w:val="en-US" w:eastAsia="zh-CN"/>
        </w:rPr>
        <w:t>亩）</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color w:val="auto"/>
          <w:sz w:val="32"/>
          <w:szCs w:val="32"/>
          <w:highlight w:val="none"/>
          <w:lang w:val="en-US" w:eastAsia="zh-CN"/>
        </w:rPr>
      </w:pPr>
      <w:r>
        <w:rPr>
          <w:rFonts w:hint="default" w:ascii="Times New Roman" w:hAnsi="Times New Roman" w:eastAsia="仿宋_GB2312" w:cs="Times New Roman"/>
          <w:color w:val="auto"/>
          <w:sz w:val="32"/>
          <w:szCs w:val="32"/>
          <w:highlight w:val="none"/>
          <w:lang w:val="en-US" w:eastAsia="zh-CN"/>
        </w:rPr>
        <w:t>4.</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和平县阳明镇均上村博头经济合作社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0.</w:t>
      </w:r>
      <w:r>
        <w:rPr>
          <w:rFonts w:hint="eastAsia" w:eastAsia="仿宋_GB2312" w:cs="Times New Roman"/>
          <w:color w:val="auto"/>
          <w:sz w:val="32"/>
          <w:szCs w:val="32"/>
          <w:highlight w:val="none"/>
          <w:lang w:val="en-US" w:eastAsia="zh-CN"/>
        </w:rPr>
        <w:t>8995</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13.4925</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0.</w:t>
      </w:r>
      <w:r>
        <w:rPr>
          <w:rFonts w:hint="eastAsia" w:eastAsia="仿宋_GB2312" w:cs="Times New Roman"/>
          <w:color w:val="auto"/>
          <w:sz w:val="32"/>
          <w:szCs w:val="32"/>
          <w:highlight w:val="none"/>
          <w:lang w:val="en-US" w:eastAsia="zh-CN"/>
        </w:rPr>
        <w:t>8995</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13.4925</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含耕地0公顷（</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lang w:val="en-US" w:eastAsia="zh-CN"/>
        </w:rPr>
        <w:t>亩）</w:t>
      </w:r>
      <w:r>
        <w:rPr>
          <w:rFonts w:hint="default" w:ascii="Times New Roman" w:hAnsi="Times New Roman" w:eastAsia="仿宋_GB2312" w:cs="Times New Roman"/>
          <w:color w:val="auto"/>
          <w:sz w:val="32"/>
          <w:szCs w:val="32"/>
          <w:highlight w:val="none"/>
          <w:lang w:eastAsia="zh-CN"/>
        </w:rPr>
        <w:t>；</w:t>
      </w:r>
    </w:p>
    <w:p>
      <w:pPr>
        <w:keepNext w:val="0"/>
        <w:keepLines w:val="0"/>
        <w:pageBreakBefore w:val="0"/>
        <w:widowControl w:val="0"/>
        <w:numPr>
          <w:ilvl w:val="0"/>
          <w:numId w:val="0"/>
        </w:numPr>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 w:cs="Times New Roman"/>
          <w:color w:val="auto"/>
          <w:sz w:val="32"/>
          <w:szCs w:val="32"/>
          <w:shd w:val="clear" w:color="auto" w:fill="FFFFFF"/>
          <w:lang w:val="en-US" w:eastAsia="zh-CN"/>
        </w:rPr>
      </w:pPr>
      <w:r>
        <w:rPr>
          <w:rFonts w:hint="default" w:ascii="Times New Roman" w:hAnsi="Times New Roman" w:eastAsia="仿宋_GB2312" w:cs="Times New Roman"/>
          <w:color w:val="auto"/>
          <w:sz w:val="32"/>
          <w:szCs w:val="32"/>
          <w:highlight w:val="none"/>
          <w:lang w:val="en-US" w:eastAsia="zh-CN"/>
        </w:rPr>
        <w:t>5.</w:t>
      </w:r>
      <w:r>
        <w:rPr>
          <w:rFonts w:hint="default" w:ascii="Times New Roman" w:hAnsi="Times New Roman" w:eastAsia="仿宋_GB2312" w:cs="Times New Roman"/>
          <w:color w:val="auto"/>
          <w:sz w:val="32"/>
          <w:szCs w:val="32"/>
          <w:highlight w:val="none"/>
        </w:rPr>
        <w:t>拟征收</w:t>
      </w:r>
      <w:r>
        <w:rPr>
          <w:rFonts w:hint="default" w:ascii="Times New Roman" w:hAnsi="Times New Roman" w:eastAsia="仿宋_GB2312" w:cs="Times New Roman"/>
          <w:sz w:val="32"/>
        </w:rPr>
        <w:t>和平县阳明镇均上村隔里经济合作社</w:t>
      </w:r>
      <w:r>
        <w:rPr>
          <w:rFonts w:hint="default" w:ascii="Times New Roman" w:hAnsi="Times New Roman" w:eastAsia="仿宋_GB2312" w:cs="Times New Roman"/>
          <w:color w:val="auto"/>
          <w:sz w:val="32"/>
          <w:szCs w:val="32"/>
          <w:highlight w:val="none"/>
        </w:rPr>
        <w:t>集体所有土地</w:t>
      </w:r>
      <w:r>
        <w:rPr>
          <w:rFonts w:hint="default" w:ascii="Times New Roman" w:hAnsi="Times New Roman" w:eastAsia="仿宋_GB2312" w:cs="Times New Roman"/>
          <w:color w:val="auto"/>
          <w:sz w:val="32"/>
          <w:szCs w:val="32"/>
          <w:highlight w:val="none"/>
          <w:lang w:val="en-US" w:eastAsia="zh-CN"/>
        </w:rPr>
        <w:t>0.</w:t>
      </w:r>
      <w:r>
        <w:rPr>
          <w:rFonts w:hint="eastAsia" w:eastAsia="仿宋_GB2312" w:cs="Times New Roman"/>
          <w:color w:val="auto"/>
          <w:sz w:val="32"/>
          <w:szCs w:val="32"/>
          <w:highlight w:val="none"/>
          <w:lang w:val="en-US" w:eastAsia="zh-CN"/>
        </w:rPr>
        <w:t>0005</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0.0075</w:t>
      </w:r>
      <w:r>
        <w:rPr>
          <w:rFonts w:hint="default" w:ascii="Times New Roman" w:hAnsi="Times New Roman" w:eastAsia="仿宋_GB2312" w:cs="Times New Roman"/>
          <w:color w:val="auto"/>
          <w:sz w:val="32"/>
          <w:szCs w:val="32"/>
          <w:highlight w:val="none"/>
        </w:rPr>
        <w:t>亩）。其中，农用地</w:t>
      </w:r>
      <w:r>
        <w:rPr>
          <w:rFonts w:hint="default" w:ascii="Times New Roman" w:hAnsi="Times New Roman" w:eastAsia="仿宋_GB2312" w:cs="Times New Roman"/>
          <w:color w:val="auto"/>
          <w:sz w:val="32"/>
          <w:szCs w:val="32"/>
          <w:highlight w:val="none"/>
          <w:lang w:val="en-US" w:eastAsia="zh-CN"/>
        </w:rPr>
        <w:t>0.</w:t>
      </w:r>
      <w:r>
        <w:rPr>
          <w:rFonts w:hint="eastAsia" w:eastAsia="仿宋_GB2312" w:cs="Times New Roman"/>
          <w:color w:val="auto"/>
          <w:sz w:val="32"/>
          <w:szCs w:val="32"/>
          <w:highlight w:val="none"/>
          <w:lang w:val="en-US" w:eastAsia="zh-CN"/>
        </w:rPr>
        <w:t>0005</w:t>
      </w:r>
      <w:r>
        <w:rPr>
          <w:rFonts w:hint="default" w:ascii="Times New Roman" w:hAnsi="Times New Roman" w:eastAsia="仿宋_GB2312" w:cs="Times New Roman"/>
          <w:color w:val="auto"/>
          <w:sz w:val="32"/>
          <w:szCs w:val="32"/>
          <w:highlight w:val="none"/>
        </w:rPr>
        <w:t>公顷（</w:t>
      </w:r>
      <w:r>
        <w:rPr>
          <w:rFonts w:hint="default" w:ascii="Times New Roman" w:hAnsi="Times New Roman" w:eastAsia="仿宋_GB2312" w:cs="Times New Roman"/>
          <w:color w:val="auto"/>
          <w:sz w:val="32"/>
          <w:szCs w:val="32"/>
          <w:highlight w:val="none"/>
          <w:lang w:val="en-US" w:eastAsia="zh-CN"/>
        </w:rPr>
        <w:t>0.0075</w:t>
      </w:r>
      <w:r>
        <w:rPr>
          <w:rFonts w:hint="default" w:ascii="Times New Roman" w:hAnsi="Times New Roman" w:eastAsia="仿宋_GB2312" w:cs="Times New Roman"/>
          <w:color w:val="auto"/>
          <w:sz w:val="32"/>
          <w:szCs w:val="32"/>
          <w:highlight w:val="none"/>
        </w:rPr>
        <w:t>亩）</w:t>
      </w:r>
      <w:r>
        <w:rPr>
          <w:rFonts w:hint="default" w:ascii="Times New Roman" w:hAnsi="Times New Roman" w:eastAsia="仿宋_GB2312" w:cs="Times New Roman"/>
          <w:color w:val="auto"/>
          <w:sz w:val="32"/>
          <w:szCs w:val="32"/>
          <w:highlight w:val="none"/>
          <w:lang w:eastAsia="zh-CN"/>
        </w:rPr>
        <w:t>，</w:t>
      </w:r>
      <w:r>
        <w:rPr>
          <w:rFonts w:hint="default" w:ascii="Times New Roman" w:hAnsi="Times New Roman" w:eastAsia="仿宋_GB2312" w:cs="Times New Roman"/>
          <w:color w:val="auto"/>
          <w:sz w:val="32"/>
          <w:szCs w:val="32"/>
          <w:highlight w:val="none"/>
          <w:lang w:val="en-US" w:eastAsia="zh-CN"/>
        </w:rPr>
        <w:t>含耕地0公顷（</w:t>
      </w:r>
      <w:r>
        <w:rPr>
          <w:rFonts w:hint="eastAsia" w:eastAsia="仿宋_GB2312" w:cs="Times New Roman"/>
          <w:color w:val="auto"/>
          <w:sz w:val="32"/>
          <w:szCs w:val="32"/>
          <w:highlight w:val="none"/>
          <w:lang w:val="en-US" w:eastAsia="zh-CN"/>
        </w:rPr>
        <w:t>0</w:t>
      </w:r>
      <w:r>
        <w:rPr>
          <w:rFonts w:hint="default" w:ascii="Times New Roman" w:hAnsi="Times New Roman" w:eastAsia="仿宋_GB2312" w:cs="Times New Roman"/>
          <w:color w:val="auto"/>
          <w:sz w:val="32"/>
          <w:szCs w:val="32"/>
          <w:highlight w:val="none"/>
          <w:lang w:val="en-US" w:eastAsia="zh-CN"/>
        </w:rPr>
        <w:t>亩）。</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四、补偿方式和标准</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lang w:val="en-US" w:eastAsia="zh-CN"/>
        </w:rPr>
        <w:t>一</w:t>
      </w:r>
      <w:r>
        <w:rPr>
          <w:rFonts w:hint="default" w:ascii="Times New Roman" w:hAnsi="Times New Roman" w:eastAsia="楷体_GB2312" w:cs="Times New Roman"/>
          <w:sz w:val="32"/>
          <w:szCs w:val="32"/>
          <w:lang w:eastAsia="zh-CN"/>
        </w:rPr>
        <w:t>）</w:t>
      </w:r>
      <w:r>
        <w:rPr>
          <w:rFonts w:hint="default" w:ascii="Times New Roman" w:hAnsi="Times New Roman" w:eastAsia="楷体_GB2312" w:cs="Times New Roman"/>
          <w:sz w:val="32"/>
          <w:szCs w:val="32"/>
        </w:rPr>
        <w:t>土地补偿</w:t>
      </w:r>
      <w:r>
        <w:rPr>
          <w:rFonts w:hint="default" w:ascii="Times New Roman" w:hAnsi="Times New Roman" w:eastAsia="楷体_GB2312" w:cs="Times New Roman"/>
          <w:sz w:val="32"/>
          <w:szCs w:val="32"/>
          <w:lang w:val="en-US" w:eastAsia="zh-CN"/>
        </w:rPr>
        <w:t>费</w:t>
      </w:r>
      <w:r>
        <w:rPr>
          <w:rFonts w:hint="default" w:ascii="Times New Roman" w:hAnsi="Times New Roman" w:eastAsia="楷体_GB2312" w:cs="Times New Roman"/>
          <w:sz w:val="32"/>
          <w:szCs w:val="32"/>
        </w:rPr>
        <w:t>及安置补助</w:t>
      </w:r>
      <w:r>
        <w:rPr>
          <w:rFonts w:hint="default" w:ascii="Times New Roman" w:hAnsi="Times New Roman" w:eastAsia="楷体_GB2312" w:cs="Times New Roman"/>
          <w:sz w:val="32"/>
          <w:szCs w:val="32"/>
          <w:lang w:val="en-US" w:eastAsia="zh-CN"/>
        </w:rPr>
        <w:t>费</w:t>
      </w:r>
      <w:r>
        <w:rPr>
          <w:rFonts w:hint="default" w:ascii="Times New Roman" w:hAnsi="Times New Roman" w:eastAsia="楷体_GB2312" w:cs="Times New Roman"/>
          <w:sz w:val="32"/>
          <w:szCs w:val="32"/>
        </w:rPr>
        <w:t>标准</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32" w:firstLineChars="200"/>
        <w:jc w:val="both"/>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highlight w:val="none"/>
        </w:rPr>
        <w:t>根据《河源市人民政府关于公布实施征收农用地区片综合地价的公告》（河府〔202</w:t>
      </w:r>
      <w:r>
        <w:rPr>
          <w:rFonts w:hint="default" w:ascii="Times New Roman" w:hAnsi="Times New Roman" w:eastAsia="仿宋_GB2312" w:cs="Times New Roman"/>
          <w:sz w:val="32"/>
          <w:szCs w:val="32"/>
          <w:highlight w:val="none"/>
          <w:lang w:val="en-US" w:eastAsia="zh-CN"/>
        </w:rPr>
        <w:t>4</w:t>
      </w:r>
      <w:r>
        <w:rPr>
          <w:rFonts w:hint="default" w:ascii="Times New Roman" w:hAnsi="Times New Roman" w:eastAsia="仿宋_GB2312" w:cs="Times New Roman"/>
          <w:sz w:val="32"/>
          <w:szCs w:val="32"/>
          <w:highlight w:val="none"/>
        </w:rPr>
        <w:t>〕1</w:t>
      </w:r>
      <w:r>
        <w:rPr>
          <w:rFonts w:hint="default" w:ascii="Times New Roman" w:hAnsi="Times New Roman" w:eastAsia="仿宋_GB2312" w:cs="Times New Roman"/>
          <w:sz w:val="32"/>
          <w:szCs w:val="32"/>
          <w:highlight w:val="none"/>
          <w:lang w:val="en-US" w:eastAsia="zh-CN"/>
        </w:rPr>
        <w:t>2</w:t>
      </w:r>
      <w:r>
        <w:rPr>
          <w:rFonts w:hint="default" w:ascii="Times New Roman" w:hAnsi="Times New Roman" w:eastAsia="仿宋_GB2312" w:cs="Times New Roman"/>
          <w:sz w:val="32"/>
          <w:szCs w:val="32"/>
          <w:highlight w:val="none"/>
        </w:rPr>
        <w:t>号）的规定，</w:t>
      </w:r>
      <w:r>
        <w:rPr>
          <w:rFonts w:hint="default" w:ascii="Times New Roman" w:hAnsi="Times New Roman" w:eastAsia="仿宋_GB2312" w:cs="Times New Roman"/>
          <w:color w:val="auto"/>
          <w:sz w:val="32"/>
          <w:szCs w:val="32"/>
          <w:highlight w:val="none"/>
          <w:lang w:eastAsia="zh-CN"/>
        </w:rPr>
        <w:t>阳明镇</w:t>
      </w:r>
      <w:r>
        <w:rPr>
          <w:rFonts w:hint="default" w:ascii="Times New Roman" w:hAnsi="Times New Roman" w:eastAsia="仿宋_GB2312" w:cs="Times New Roman"/>
          <w:color w:val="auto"/>
          <w:sz w:val="32"/>
          <w:szCs w:val="32"/>
          <w:highlight w:val="none"/>
        </w:rPr>
        <w:t>土地补偿费标准为</w:t>
      </w:r>
      <w:r>
        <w:rPr>
          <w:rFonts w:hint="default" w:ascii="Times New Roman" w:hAnsi="Times New Roman" w:eastAsia="仿宋_GB2312" w:cs="Times New Roman"/>
          <w:color w:val="auto"/>
          <w:sz w:val="32"/>
          <w:szCs w:val="32"/>
          <w:highlight w:val="none"/>
          <w:lang w:val="en-US" w:eastAsia="zh-CN"/>
        </w:rPr>
        <w:t>36.225</w:t>
      </w:r>
      <w:r>
        <w:rPr>
          <w:rFonts w:hint="default" w:ascii="Times New Roman" w:hAnsi="Times New Roman" w:eastAsia="仿宋_GB2312" w:cs="Times New Roman"/>
          <w:color w:val="auto"/>
          <w:sz w:val="32"/>
          <w:szCs w:val="32"/>
          <w:highlight w:val="none"/>
        </w:rPr>
        <w:t>万元/公顷，安置补助费标准为</w:t>
      </w:r>
      <w:r>
        <w:rPr>
          <w:rFonts w:hint="default" w:ascii="Times New Roman" w:hAnsi="Times New Roman" w:eastAsia="仿宋_GB2312" w:cs="Times New Roman"/>
          <w:color w:val="auto"/>
          <w:sz w:val="32"/>
          <w:szCs w:val="32"/>
          <w:highlight w:val="none"/>
          <w:lang w:val="en-US" w:eastAsia="zh-CN"/>
        </w:rPr>
        <w:t>36.225</w:t>
      </w:r>
      <w:r>
        <w:rPr>
          <w:rFonts w:hint="default" w:ascii="Times New Roman" w:hAnsi="Times New Roman" w:eastAsia="仿宋_GB2312" w:cs="Times New Roman"/>
          <w:color w:val="auto"/>
          <w:sz w:val="32"/>
          <w:szCs w:val="32"/>
          <w:highlight w:val="none"/>
        </w:rPr>
        <w:t>万元/公顷。</w:t>
      </w:r>
      <w:r>
        <w:rPr>
          <w:rFonts w:hint="default" w:ascii="Times New Roman" w:hAnsi="Times New Roman" w:eastAsia="仿宋_GB2312" w:cs="Times New Roman"/>
          <w:sz w:val="32"/>
          <w:szCs w:val="32"/>
        </w:rPr>
        <w:t>（林</w:t>
      </w:r>
      <w:r>
        <w:rPr>
          <w:rFonts w:hint="default" w:ascii="Times New Roman" w:hAnsi="Times New Roman" w:eastAsia="仿宋_GB2312" w:cs="Times New Roman"/>
          <w:spacing w:val="-6"/>
          <w:sz w:val="32"/>
          <w:szCs w:val="32"/>
        </w:rPr>
        <w:t>地和未利用地参照征收农用地区片综合地价设定调节系数0.4执</w:t>
      </w:r>
      <w:r>
        <w:rPr>
          <w:rFonts w:hint="default" w:ascii="Times New Roman" w:hAnsi="Times New Roman" w:eastAsia="仿宋_GB2312" w:cs="Times New Roman"/>
          <w:spacing w:val="-6"/>
          <w:sz w:val="32"/>
          <w:szCs w:val="32"/>
          <w:lang w:val="en-US" w:eastAsia="zh-CN"/>
        </w:rPr>
        <w:t>行）</w:t>
      </w:r>
      <w:bookmarkStart w:id="0" w:name="_GoBack"/>
      <w:bookmarkEnd w:id="0"/>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（二）农村村民住宅补偿</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sz w:val="32"/>
          <w:szCs w:val="32"/>
        </w:rPr>
        <w:t>本项目不涉及农村村民住宅补偿。</w:t>
      </w:r>
    </w:p>
    <w:p>
      <w:pPr>
        <w:keepNext w:val="0"/>
        <w:keepLines w:val="0"/>
        <w:pageBreakBefore w:val="0"/>
        <w:widowControl w:val="0"/>
        <w:kinsoku/>
        <w:wordWrap/>
        <w:overflowPunct/>
        <w:topLinePunct w:val="0"/>
        <w:autoSpaceDE/>
        <w:autoSpaceDN/>
        <w:bidi w:val="0"/>
        <w:adjustRightInd/>
        <w:snapToGrid/>
        <w:spacing w:line="560" w:lineRule="exact"/>
        <w:ind w:firstLine="632" w:firstLineChars="200"/>
        <w:textAlignment w:val="auto"/>
        <w:rPr>
          <w:rFonts w:hint="default" w:ascii="Times New Roman" w:hAnsi="Times New Roman" w:eastAsia="楷体_GB2312" w:cs="Times New Roman"/>
          <w:sz w:val="32"/>
          <w:szCs w:val="32"/>
        </w:rPr>
      </w:pPr>
      <w:r>
        <w:rPr>
          <w:rFonts w:hint="default" w:ascii="Times New Roman" w:hAnsi="Times New Roman" w:eastAsia="楷体_GB2312" w:cs="Times New Roman"/>
          <w:sz w:val="32"/>
          <w:szCs w:val="32"/>
        </w:rPr>
        <w:t>（</w:t>
      </w:r>
      <w:r>
        <w:rPr>
          <w:rFonts w:hint="default" w:ascii="Times New Roman" w:hAnsi="Times New Roman" w:eastAsia="楷体_GB2312" w:cs="Times New Roman"/>
          <w:sz w:val="32"/>
          <w:szCs w:val="32"/>
          <w:lang w:val="en-US" w:eastAsia="zh-CN"/>
        </w:rPr>
        <w:t>三</w:t>
      </w:r>
      <w:r>
        <w:rPr>
          <w:rFonts w:hint="default" w:ascii="Times New Roman" w:hAnsi="Times New Roman" w:eastAsia="楷体_GB2312" w:cs="Times New Roman"/>
          <w:sz w:val="32"/>
          <w:szCs w:val="32"/>
        </w:rPr>
        <w:t>）青苗及其他地上附着物补偿</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仿宋_GB2312" w:cs="Times New Roman"/>
          <w:i w:val="0"/>
          <w:caps w:val="0"/>
          <w:color w:val="auto"/>
          <w:spacing w:val="0"/>
          <w:sz w:val="32"/>
          <w:szCs w:val="32"/>
          <w:highlight w:val="none"/>
          <w:u w:val="none"/>
        </w:rPr>
        <w:t>青苗补偿和其他地上附着物补偿按《赣深高铁（和平段）建设征地补偿安置方案》的规定执行</w:t>
      </w:r>
      <w:r>
        <w:rPr>
          <w:rFonts w:hint="default" w:ascii="Times New Roman" w:hAnsi="Times New Roman" w:eastAsia="仿宋_GB2312" w:cs="Times New Roman"/>
          <w:color w:val="auto"/>
          <w:sz w:val="32"/>
          <w:szCs w:val="32"/>
          <w:lang w:val="en-US" w:eastAsia="zh-CN"/>
        </w:rPr>
        <w:t>。</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五、安置对象</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highlight w:val="yellow"/>
        </w:rPr>
      </w:pPr>
      <w:r>
        <w:rPr>
          <w:rFonts w:hint="default" w:ascii="Times New Roman" w:hAnsi="Times New Roman" w:eastAsia="仿宋_GB2312" w:cs="Times New Roman"/>
          <w:sz w:val="32"/>
          <w:szCs w:val="32"/>
        </w:rPr>
        <w:t>享有农村集体土地承包权的农户，家庭承包的土地被政府依法统一征收的，其征地安置补偿方案制定时属于农村集体经济组织成员且年满16周岁以上的家庭成员，纳入征地社保费补贴对象范围。农村集体经济组织另有规定的，可从其规定。不满16周岁的安置人员不作为被征地农民参加城乡社会保障，其本人的安置补助费由县级以上人民政府按规定足额支付。</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黑体" w:cs="Times New Roman"/>
          <w:sz w:val="32"/>
          <w:szCs w:val="32"/>
        </w:rPr>
      </w:pPr>
      <w:r>
        <w:rPr>
          <w:rFonts w:hint="default" w:ascii="Times New Roman" w:hAnsi="Times New Roman" w:eastAsia="黑体" w:cs="Times New Roman"/>
          <w:sz w:val="32"/>
          <w:szCs w:val="32"/>
        </w:rPr>
        <w:t>六、安置方式和社会保障</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（一）货币安置。</w:t>
      </w:r>
      <w:r>
        <w:rPr>
          <w:rFonts w:hint="default" w:ascii="Times New Roman" w:hAnsi="Times New Roman" w:eastAsia="仿宋_GB2312" w:cs="Times New Roman"/>
          <w:sz w:val="32"/>
          <w:szCs w:val="32"/>
        </w:rPr>
        <w:t>所需费用已包含在土地补偿安置费中。</w:t>
      </w:r>
    </w:p>
    <w:p>
      <w:pPr>
        <w:keepNext w:val="0"/>
        <w:keepLines w:val="0"/>
        <w:pageBreakBefore w:val="0"/>
        <w:widowControl w:val="0"/>
        <w:kinsoku/>
        <w:wordWrap/>
        <w:overflowPunct/>
        <w:topLinePunct w:val="0"/>
        <w:autoSpaceDE/>
        <w:autoSpaceDN/>
        <w:bidi w:val="0"/>
        <w:adjustRightIn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（二）留用地安置。</w:t>
      </w:r>
      <w:r>
        <w:rPr>
          <w:rFonts w:hint="default" w:ascii="Times New Roman" w:hAnsi="Times New Roman" w:eastAsia="仿宋_GB2312" w:cs="Times New Roman"/>
          <w:sz w:val="32"/>
          <w:szCs w:val="32"/>
        </w:rPr>
        <w:t>根据《广东省人民政府办公厅关于加强征收农村集体土地留用地安置管理工作的意见》（粤府办〔2016〕30号）的规定，按实际征收土地面积的10%安排留用地，留用地兑现方式为折算货币补偿，补偿标准为</w:t>
      </w:r>
      <w:r>
        <w:rPr>
          <w:rFonts w:hint="default" w:ascii="Times New Roman" w:hAnsi="Times New Roman" w:eastAsia="仿宋_GB2312" w:cs="Times New Roman"/>
          <w:sz w:val="32"/>
          <w:szCs w:val="32"/>
          <w:highlight w:val="none"/>
        </w:rPr>
        <w:t>150万元</w:t>
      </w:r>
      <w:r>
        <w:rPr>
          <w:rFonts w:hint="eastAsia" w:ascii="Times New Roman" w:hAnsi="Times New Roman" w:eastAsia="仿宋_GB2312" w:cs="Times New Roman"/>
          <w:color w:val="auto"/>
          <w:sz w:val="32"/>
          <w:szCs w:val="32"/>
          <w:highlight w:val="none"/>
          <w:lang w:val="en-US" w:eastAsia="zh-CN"/>
        </w:rPr>
        <w:t>/</w:t>
      </w:r>
      <w:r>
        <w:rPr>
          <w:rFonts w:hint="default" w:ascii="Times New Roman" w:hAnsi="Times New Roman" w:eastAsia="仿宋_GB2312" w:cs="Times New Roman"/>
          <w:sz w:val="32"/>
          <w:szCs w:val="32"/>
        </w:rPr>
        <w:t>公顷</w:t>
      </w:r>
      <w:r>
        <w:rPr>
          <w:rStyle w:val="10"/>
          <w:rFonts w:hint="default" w:ascii="Times New Roman" w:hAnsi="Times New Roman" w:eastAsia="仿宋_GB2312" w:cs="Times New Roman"/>
          <w:b w:val="0"/>
          <w:bCs/>
          <w:sz w:val="32"/>
          <w:szCs w:val="32"/>
        </w:rPr>
        <w:t>。</w:t>
      </w:r>
    </w:p>
    <w:p>
      <w:pPr>
        <w:keepNext w:val="0"/>
        <w:keepLines w:val="0"/>
        <w:pageBreakBefore w:val="0"/>
        <w:widowControl w:val="0"/>
        <w:kinsoku/>
        <w:wordWrap/>
        <w:overflowPunct/>
        <w:topLinePunct w:val="0"/>
        <w:autoSpaceDE/>
        <w:autoSpaceDN/>
        <w:bidi w:val="0"/>
        <w:adjustRightInd/>
        <w:snapToGrid/>
        <w:spacing w:line="580" w:lineRule="exact"/>
        <w:ind w:firstLine="632" w:firstLineChars="200"/>
        <w:textAlignment w:val="auto"/>
        <w:rPr>
          <w:rFonts w:hint="default" w:ascii="Times New Roman" w:hAnsi="Times New Roman" w:eastAsia="仿宋_GB2312" w:cs="Times New Roman"/>
          <w:sz w:val="32"/>
          <w:szCs w:val="32"/>
        </w:rPr>
      </w:pPr>
      <w:r>
        <w:rPr>
          <w:rFonts w:hint="default" w:ascii="Times New Roman" w:hAnsi="Times New Roman" w:eastAsia="楷体_GB2312" w:cs="Times New Roman"/>
          <w:sz w:val="32"/>
          <w:szCs w:val="32"/>
        </w:rPr>
        <w:t>（三）社会保障费用。</w:t>
      </w:r>
      <w:r>
        <w:rPr>
          <w:rFonts w:hint="default" w:ascii="Times New Roman" w:hAnsi="Times New Roman" w:eastAsia="仿宋_GB2312" w:cs="Times New Roman"/>
          <w:sz w:val="32"/>
          <w:szCs w:val="32"/>
        </w:rPr>
        <w:t>根据《广东省人民政府办公厅转发省人力资源社会保障厅关于进一步完善我省被征地农民养老保障政策意见的通知》（粤府办〔2021〕22号）规定</w:t>
      </w:r>
      <w:r>
        <w:rPr>
          <w:rFonts w:hint="default" w:ascii="Times New Roman" w:hAnsi="Times New Roman" w:eastAsia="仿宋_GB2312" w:cs="Times New Roman"/>
          <w:color w:val="auto"/>
          <w:sz w:val="32"/>
          <w:szCs w:val="32"/>
          <w:highlight w:val="none"/>
        </w:rPr>
        <w:t>、《河源市人民政府办公室关于进一步完善我市被征地农民养老保障政策的通知》（河府办〔2021〕23号）规定</w:t>
      </w:r>
      <w:r>
        <w:rPr>
          <w:rFonts w:hint="default" w:ascii="Times New Roman" w:hAnsi="Times New Roman" w:eastAsia="仿宋_GB2312" w:cs="Times New Roman"/>
          <w:sz w:val="32"/>
          <w:szCs w:val="32"/>
        </w:rPr>
        <w:t>，核定该项目按0.909万元/亩</w:t>
      </w:r>
      <w:r>
        <w:rPr>
          <w:rFonts w:hint="default" w:ascii="Times New Roman" w:hAnsi="Times New Roman" w:eastAsia="仿宋_GB2312" w:cs="Times New Roman"/>
          <w:sz w:val="32"/>
          <w:szCs w:val="32"/>
          <w:lang w:eastAsia="zh-CN"/>
        </w:rPr>
        <w:t>的</w:t>
      </w:r>
      <w:r>
        <w:rPr>
          <w:rFonts w:hint="default" w:ascii="Times New Roman" w:hAnsi="Times New Roman" w:eastAsia="仿宋_GB2312" w:cs="Times New Roman"/>
          <w:sz w:val="32"/>
          <w:szCs w:val="32"/>
        </w:rPr>
        <w:t>标准一次性计提被征地农民养老保障资金存</w:t>
      </w:r>
      <w:r>
        <w:rPr>
          <w:rFonts w:hint="eastAsia" w:ascii="仿宋_GB2312" w:hAnsi="仿宋_GB2312" w:eastAsia="仿宋_GB2312" w:cs="仿宋_GB2312"/>
          <w:sz w:val="32"/>
          <w:szCs w:val="32"/>
        </w:rPr>
        <w:t>入“收缴被征地农民养老保障资金过渡户”</w:t>
      </w:r>
      <w:r>
        <w:rPr>
          <w:rFonts w:hint="default" w:ascii="Times New Roman" w:hAnsi="Times New Roman" w:eastAsia="仿宋_GB2312" w:cs="Times New Roman"/>
          <w:sz w:val="32"/>
          <w:szCs w:val="32"/>
        </w:rPr>
        <w:t>，费用合计</w:t>
      </w:r>
      <w:r>
        <w:rPr>
          <w:rFonts w:hint="eastAsia" w:eastAsia="仿宋_GB2312" w:cs="Times New Roman"/>
          <w:color w:val="auto"/>
          <w:sz w:val="32"/>
          <w:szCs w:val="32"/>
          <w:highlight w:val="none"/>
          <w:lang w:val="en-US" w:eastAsia="zh-CN"/>
        </w:rPr>
        <w:t>28.0582</w:t>
      </w:r>
      <w:r>
        <w:rPr>
          <w:rFonts w:hint="default" w:ascii="Times New Roman" w:hAnsi="Times New Roman" w:eastAsia="仿宋_GB2312" w:cs="Times New Roman"/>
          <w:sz w:val="32"/>
          <w:szCs w:val="32"/>
        </w:rPr>
        <w:t>万元，专款用于被征地农民缴纳养老保险费用。</w:t>
      </w: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632" w:firstLineChars="200"/>
        <w:jc w:val="right"/>
        <w:textAlignment w:val="auto"/>
        <w:rPr>
          <w:rFonts w:hint="default" w:ascii="Times New Roman" w:hAnsi="Times New Roman" w:eastAsia="仿宋_GB2312" w:cs="Times New Roman"/>
          <w:sz w:val="32"/>
          <w:szCs w:val="32"/>
          <w:highlight w:val="none"/>
        </w:rPr>
      </w:pPr>
    </w:p>
    <w:p>
      <w:pPr>
        <w:keepNext w:val="0"/>
        <w:keepLines w:val="0"/>
        <w:pageBreakBefore w:val="0"/>
        <w:widowControl w:val="0"/>
        <w:kinsoku/>
        <w:wordWrap/>
        <w:overflowPunct/>
        <w:topLinePunct w:val="0"/>
        <w:autoSpaceDE/>
        <w:autoSpaceDN/>
        <w:bidi w:val="0"/>
        <w:adjustRightInd/>
        <w:snapToGrid/>
        <w:spacing w:line="580" w:lineRule="exact"/>
        <w:ind w:left="0" w:leftChars="0" w:right="0" w:rightChars="0" w:firstLine="5562" w:firstLineChars="1760"/>
        <w:jc w:val="both"/>
        <w:textAlignment w:val="auto"/>
        <w:rPr>
          <w:rFonts w:hint="default" w:ascii="Times New Roman" w:hAnsi="Times New Roman" w:eastAsia="仿宋_GB2312" w:cs="Times New Roman"/>
          <w:sz w:val="32"/>
          <w:szCs w:val="32"/>
          <w:highlight w:val="none"/>
        </w:rPr>
      </w:pPr>
    </w:p>
    <w:sectPr>
      <w:footerReference r:id="rId3" w:type="default"/>
      <w:pgSz w:w="11906" w:h="16838"/>
      <w:pgMar w:top="1984" w:right="1474" w:bottom="1871" w:left="1587" w:header="851" w:footer="992" w:gutter="0"/>
      <w:pgNumType w:fmt="numberInDash"/>
      <w:cols w:space="0" w:num="1"/>
      <w:rtlGutter w:val="0"/>
      <w:docGrid w:type="linesAndChars" w:linePitch="590" w:charSpace="-84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1A2B79E8-EAA3-4027-8683-E81DD1B2E5AE}"/>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仿宋_GB2312">
    <w:panose1 w:val="02010609030101010101"/>
    <w:charset w:val="86"/>
    <w:family w:val="auto"/>
    <w:pitch w:val="default"/>
    <w:sig w:usb0="00000001" w:usb1="080E0000" w:usb2="00000000" w:usb3="00000000" w:csb0="00040000" w:csb1="00000000"/>
    <w:embedRegular r:id="rId2" w:fontKey="{57D8CF94-B903-461D-88DF-4142990661D1}"/>
  </w:font>
  <w:font w:name="仿宋">
    <w:panose1 w:val="02010609060101010101"/>
    <w:charset w:val="86"/>
    <w:family w:val="modern"/>
    <w:pitch w:val="default"/>
    <w:sig w:usb0="800002BF" w:usb1="38CF7CFA" w:usb2="00000016" w:usb3="00000000" w:csb0="00040001" w:csb1="00000000"/>
    <w:embedRegular r:id="rId3" w:fontKey="{DCFA46C9-B52A-49A5-B1AD-592E58E0A777}"/>
  </w:font>
  <w:font w:name="方正小标宋简体">
    <w:panose1 w:val="02000000000000000000"/>
    <w:charset w:val="86"/>
    <w:family w:val="auto"/>
    <w:pitch w:val="default"/>
    <w:sig w:usb0="A00002BF" w:usb1="184F6CFA" w:usb2="00000012" w:usb3="00000000" w:csb0="00040001" w:csb1="00000000"/>
    <w:embedRegular r:id="rId4" w:fontKey="{41FA70BF-EF20-42EF-8BDF-8118CD32B368}"/>
  </w:font>
  <w:font w:name="楷体_GB2312">
    <w:panose1 w:val="02010609030101010101"/>
    <w:charset w:val="86"/>
    <w:family w:val="auto"/>
    <w:pitch w:val="default"/>
    <w:sig w:usb0="00000001" w:usb1="080E0000" w:usb2="00000000" w:usb3="00000000" w:csb0="00040000" w:csb1="00000000"/>
    <w:embedRegular r:id="rId5" w:fontKey="{514AEDB1-FDDC-4940-96DB-F70C7340D71D}"/>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pPr>
                      <w:pStyle w:val="5"/>
                      <w:rPr>
                        <w:rFonts w:hint="eastAsia" w:eastAsia="宋体"/>
                        <w:lang w:eastAsia="zh-CN"/>
                      </w:rPr>
                    </w:pPr>
                    <w:r>
                      <w:rPr>
                        <w:rFonts w:hint="eastAsia"/>
                        <w:lang w:eastAsia="zh-CN"/>
                      </w:rPr>
                      <w:fldChar w:fldCharType="begin"/>
                    </w:r>
                    <w:r>
                      <w:rPr>
                        <w:rFonts w:hint="eastAsia"/>
                        <w:lang w:eastAsia="zh-CN"/>
                      </w:rPr>
                      <w:instrText xml:space="preserve"> PAGE  \* MERGEFORMAT </w:instrText>
                    </w:r>
                    <w:r>
                      <w:rPr>
                        <w:rFonts w:hint="eastAsia"/>
                        <w:lang w:eastAsia="zh-CN"/>
                      </w:rPr>
                      <w:fldChar w:fldCharType="separate"/>
                    </w:r>
                    <w:r>
                      <w:rPr>
                        <w:rFonts w:hint="eastAsia"/>
                        <w:lang w:eastAsia="zh-CN"/>
                      </w:rPr>
                      <w:t>1</w:t>
                    </w:r>
                    <w:r>
                      <w:rPr>
                        <w:rFonts w:hint="eastAsia"/>
                        <w:lang w:eastAsia="zh-CN"/>
                      </w:rPr>
                      <w:fldChar w:fldCharType="end"/>
                    </w:r>
                  </w:p>
                </w:txbxContent>
              </v:textbox>
            </v:shape>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TrueTypeFonts/>
  <w:saveSubsetFonts/>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58"/>
  <w:drawingGridVerticalSpacing w:val="295"/>
  <w:displayHorizontalDrawingGridEvery w:val="2"/>
  <w:displayVerticalDrawingGridEvery w:val="2"/>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VjMTYzNzY3ZDljYTg1NTAzZjIxOTM2YzUzZGUzZDEifQ=="/>
  </w:docVars>
  <w:rsids>
    <w:rsidRoot w:val="03DE749C"/>
    <w:rsid w:val="001E6F65"/>
    <w:rsid w:val="00235B57"/>
    <w:rsid w:val="002925EA"/>
    <w:rsid w:val="004C356B"/>
    <w:rsid w:val="00C454C1"/>
    <w:rsid w:val="00E2352C"/>
    <w:rsid w:val="00E5412A"/>
    <w:rsid w:val="00E9056D"/>
    <w:rsid w:val="00EA1D88"/>
    <w:rsid w:val="02AC4E00"/>
    <w:rsid w:val="03DE749C"/>
    <w:rsid w:val="03FF4EC0"/>
    <w:rsid w:val="05797DC7"/>
    <w:rsid w:val="05EC4CCB"/>
    <w:rsid w:val="075F1DD1"/>
    <w:rsid w:val="090F1CDE"/>
    <w:rsid w:val="0918062C"/>
    <w:rsid w:val="0A996A91"/>
    <w:rsid w:val="0AB82233"/>
    <w:rsid w:val="0ADB46EB"/>
    <w:rsid w:val="0D1907B9"/>
    <w:rsid w:val="0D2A3A7D"/>
    <w:rsid w:val="0E156535"/>
    <w:rsid w:val="0F8D42F7"/>
    <w:rsid w:val="100D14FD"/>
    <w:rsid w:val="10947328"/>
    <w:rsid w:val="11507CBB"/>
    <w:rsid w:val="115E7BE0"/>
    <w:rsid w:val="12001FC8"/>
    <w:rsid w:val="123E2565"/>
    <w:rsid w:val="130E2ED8"/>
    <w:rsid w:val="133539B9"/>
    <w:rsid w:val="134726EF"/>
    <w:rsid w:val="150075E2"/>
    <w:rsid w:val="15194897"/>
    <w:rsid w:val="172E6C64"/>
    <w:rsid w:val="182C6BC9"/>
    <w:rsid w:val="18724D5C"/>
    <w:rsid w:val="1AF06B8B"/>
    <w:rsid w:val="1C2824C7"/>
    <w:rsid w:val="1C807D14"/>
    <w:rsid w:val="1C920C3F"/>
    <w:rsid w:val="1D6E3BA7"/>
    <w:rsid w:val="1E62580B"/>
    <w:rsid w:val="1E6933E3"/>
    <w:rsid w:val="1EF319B8"/>
    <w:rsid w:val="1FA55264"/>
    <w:rsid w:val="21946259"/>
    <w:rsid w:val="220A48C8"/>
    <w:rsid w:val="22541730"/>
    <w:rsid w:val="229A77B8"/>
    <w:rsid w:val="22CC61C4"/>
    <w:rsid w:val="22E24092"/>
    <w:rsid w:val="23011170"/>
    <w:rsid w:val="243B2FCE"/>
    <w:rsid w:val="258A70E1"/>
    <w:rsid w:val="2749344D"/>
    <w:rsid w:val="27865C85"/>
    <w:rsid w:val="279519CD"/>
    <w:rsid w:val="27CA73E8"/>
    <w:rsid w:val="2A146FFF"/>
    <w:rsid w:val="2BB07BC6"/>
    <w:rsid w:val="2C43158B"/>
    <w:rsid w:val="2D1FE5DB"/>
    <w:rsid w:val="2D886CB2"/>
    <w:rsid w:val="2E38376F"/>
    <w:rsid w:val="2EDA4175"/>
    <w:rsid w:val="2F5F71DD"/>
    <w:rsid w:val="2F8A6913"/>
    <w:rsid w:val="304E720D"/>
    <w:rsid w:val="30FB3BE4"/>
    <w:rsid w:val="312F3410"/>
    <w:rsid w:val="319515B8"/>
    <w:rsid w:val="32C002FF"/>
    <w:rsid w:val="331D3037"/>
    <w:rsid w:val="34431874"/>
    <w:rsid w:val="375A7F25"/>
    <w:rsid w:val="3B172D1E"/>
    <w:rsid w:val="3CC4753E"/>
    <w:rsid w:val="3CFF1029"/>
    <w:rsid w:val="3D317B1B"/>
    <w:rsid w:val="3D441644"/>
    <w:rsid w:val="3D603BD1"/>
    <w:rsid w:val="40C652BB"/>
    <w:rsid w:val="411B6006"/>
    <w:rsid w:val="41E07EB7"/>
    <w:rsid w:val="45C45A16"/>
    <w:rsid w:val="465535E7"/>
    <w:rsid w:val="467B1375"/>
    <w:rsid w:val="47043F59"/>
    <w:rsid w:val="4886421A"/>
    <w:rsid w:val="4912216E"/>
    <w:rsid w:val="494B52A1"/>
    <w:rsid w:val="49C90805"/>
    <w:rsid w:val="4A127820"/>
    <w:rsid w:val="4C4F2E61"/>
    <w:rsid w:val="4C53724F"/>
    <w:rsid w:val="4CAA284C"/>
    <w:rsid w:val="4D422B6A"/>
    <w:rsid w:val="50750E5D"/>
    <w:rsid w:val="50814C2F"/>
    <w:rsid w:val="50EA3260"/>
    <w:rsid w:val="52033BD5"/>
    <w:rsid w:val="52593EC9"/>
    <w:rsid w:val="527C711B"/>
    <w:rsid w:val="52E74D7D"/>
    <w:rsid w:val="542D6D3E"/>
    <w:rsid w:val="559A3697"/>
    <w:rsid w:val="57390476"/>
    <w:rsid w:val="578939EB"/>
    <w:rsid w:val="57E70F28"/>
    <w:rsid w:val="58985626"/>
    <w:rsid w:val="596C0CB3"/>
    <w:rsid w:val="59822637"/>
    <w:rsid w:val="59B37097"/>
    <w:rsid w:val="5A00447C"/>
    <w:rsid w:val="5B066B01"/>
    <w:rsid w:val="5B54501B"/>
    <w:rsid w:val="5BFD489D"/>
    <w:rsid w:val="5C0B6220"/>
    <w:rsid w:val="5CA403D9"/>
    <w:rsid w:val="5CA6352A"/>
    <w:rsid w:val="5D427245"/>
    <w:rsid w:val="5EDC33F1"/>
    <w:rsid w:val="5F712D5A"/>
    <w:rsid w:val="5F8609B3"/>
    <w:rsid w:val="602C313F"/>
    <w:rsid w:val="60497457"/>
    <w:rsid w:val="615A4228"/>
    <w:rsid w:val="62151CE6"/>
    <w:rsid w:val="62342F8C"/>
    <w:rsid w:val="624F7D6A"/>
    <w:rsid w:val="62C21209"/>
    <w:rsid w:val="632564DD"/>
    <w:rsid w:val="63A02A21"/>
    <w:rsid w:val="63DF6326"/>
    <w:rsid w:val="649C1176"/>
    <w:rsid w:val="665A7420"/>
    <w:rsid w:val="66886065"/>
    <w:rsid w:val="674526CD"/>
    <w:rsid w:val="67467AC4"/>
    <w:rsid w:val="677A5EA6"/>
    <w:rsid w:val="688069D1"/>
    <w:rsid w:val="68E51761"/>
    <w:rsid w:val="692764DB"/>
    <w:rsid w:val="6A4351AF"/>
    <w:rsid w:val="6AF7092D"/>
    <w:rsid w:val="6C4C4CCA"/>
    <w:rsid w:val="6E607076"/>
    <w:rsid w:val="6F445896"/>
    <w:rsid w:val="6F842C3F"/>
    <w:rsid w:val="6F9115A9"/>
    <w:rsid w:val="70F9502E"/>
    <w:rsid w:val="712B0CCE"/>
    <w:rsid w:val="713C1DDF"/>
    <w:rsid w:val="719938D5"/>
    <w:rsid w:val="72A5372C"/>
    <w:rsid w:val="72DD73B2"/>
    <w:rsid w:val="75572517"/>
    <w:rsid w:val="7676265A"/>
    <w:rsid w:val="78357588"/>
    <w:rsid w:val="794B4F40"/>
    <w:rsid w:val="799866C8"/>
    <w:rsid w:val="7A2A57DE"/>
    <w:rsid w:val="7A547783"/>
    <w:rsid w:val="7BC84752"/>
    <w:rsid w:val="7C616263"/>
    <w:rsid w:val="7D564AB1"/>
    <w:rsid w:val="7F9C4783"/>
    <w:rsid w:val="BFF2469A"/>
    <w:rsid w:val="ECB2DF75"/>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1"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32"/>
      <w:szCs w:val="32"/>
      <w:lang w:val="en-US" w:eastAsia="zh-CN" w:bidi="ar-SA"/>
    </w:rPr>
  </w:style>
  <w:style w:type="character" w:default="1" w:styleId="9">
    <w:name w:val="Default Paragraph Font"/>
    <w:semiHidden/>
    <w:qFormat/>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2">
    <w:name w:val="Body Text"/>
    <w:basedOn w:val="1"/>
    <w:qFormat/>
    <w:uiPriority w:val="1"/>
    <w:pPr>
      <w:ind w:left="20"/>
    </w:pPr>
    <w:rPr>
      <w:rFonts w:ascii="仿宋_GB2312" w:hAnsi="仿宋_GB2312" w:eastAsia="仿宋_GB2312"/>
      <w:sz w:val="24"/>
      <w:szCs w:val="24"/>
    </w:rPr>
  </w:style>
  <w:style w:type="paragraph" w:styleId="3">
    <w:name w:val="annotation text"/>
    <w:basedOn w:val="1"/>
    <w:qFormat/>
    <w:uiPriority w:val="0"/>
    <w:pPr>
      <w:jc w:val="left"/>
    </w:pPr>
  </w:style>
  <w:style w:type="paragraph" w:styleId="4">
    <w:name w:val="Body Text Indent"/>
    <w:basedOn w:val="1"/>
    <w:qFormat/>
    <w:uiPriority w:val="0"/>
    <w:pPr>
      <w:spacing w:after="120"/>
      <w:ind w:left="420" w:leftChars="200"/>
    </w:pPr>
  </w:style>
  <w:style w:type="paragraph" w:styleId="5">
    <w:name w:val="footer"/>
    <w:basedOn w:val="1"/>
    <w:qFormat/>
    <w:uiPriority w:val="0"/>
    <w:pPr>
      <w:tabs>
        <w:tab w:val="center" w:pos="4153"/>
        <w:tab w:val="right" w:pos="8306"/>
      </w:tabs>
      <w:snapToGrid w:val="0"/>
      <w:jc w:val="left"/>
    </w:pPr>
    <w:rPr>
      <w:sz w:val="18"/>
      <w:szCs w:val="18"/>
    </w:rPr>
  </w:style>
  <w:style w:type="paragraph" w:styleId="6">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spacing w:line="240" w:lineRule="auto"/>
      <w:jc w:val="both"/>
      <w:outlineLvl w:val="9"/>
    </w:pPr>
    <w:rPr>
      <w:sz w:val="18"/>
    </w:rPr>
  </w:style>
  <w:style w:type="paragraph" w:styleId="7">
    <w:name w:val="Body Text First Indent 2"/>
    <w:basedOn w:val="4"/>
    <w:next w:val="1"/>
    <w:qFormat/>
    <w:uiPriority w:val="0"/>
    <w:pPr>
      <w:spacing w:after="0"/>
      <w:ind w:firstLine="420" w:firstLineChars="200"/>
    </w:pPr>
    <w:rPr>
      <w:rFonts w:ascii="Times New Roman" w:hAnsi="Times New Roman"/>
    </w:rPr>
  </w:style>
  <w:style w:type="character" w:styleId="10">
    <w:name w:val="Strong"/>
    <w:basedOn w:val="9"/>
    <w:qFormat/>
    <w:uiPriority w:val="0"/>
    <w:rPr>
      <w:b/>
    </w:rPr>
  </w:style>
  <w:style w:type="character" w:styleId="11">
    <w:name w:val="page number"/>
    <w:basedOn w:val="9"/>
    <w:qFormat/>
    <w:uiPriority w:val="0"/>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河源市国土资源局</Company>
  <Pages>2</Pages>
  <Words>737</Words>
  <Characters>801</Characters>
  <Lines>7</Lines>
  <Paragraphs>2</Paragraphs>
  <TotalTime>0</TotalTime>
  <ScaleCrop>false</ScaleCrop>
  <LinksUpToDate>false</LinksUpToDate>
  <CharactersWithSpaces>801</CharactersWithSpaces>
  <Application>WPS Office_11.1.0.10314_F1E327BC-269C-435d-A152-05C5408002CA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2019-11-07T09:10:00Z</dcterms:created>
  <dc:creator>Administrator</dc:creator>
  <cp:lastModifiedBy>Administrator</cp:lastModifiedBy>
  <cp:lastPrinted>2024-08-17T01:11:00Z</cp:lastPrinted>
  <dcterms:modified xsi:type="dcterms:W3CDTF">2024-08-22T02:06:50Z</dcterms:modified>
  <cp:revision>4</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2052-11.1.0.10314</vt:lpwstr>
  </property>
  <property fmtid="{D5CDD505-2E9C-101B-9397-08002B2CF9AE}" pid="3" name="ICV">
    <vt:lpwstr>3D4BFF8B3B9049C58AD7F5B1C4CDE9CD_13</vt:lpwstr>
  </property>
</Properties>
</file>