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478A39">
      <w:pPr>
        <w:spacing w:line="360" w:lineRule="auto"/>
        <w:jc w:val="center"/>
        <w:rPr>
          <w:rFonts w:ascii="仿宋_GB2312" w:hAnsi="微软雅黑" w:eastAsia="仿宋_GB2312"/>
          <w:b/>
          <w:bCs/>
          <w:sz w:val="36"/>
          <w:szCs w:val="36"/>
        </w:rPr>
      </w:pPr>
      <w:r>
        <w:rPr>
          <w:rFonts w:hint="eastAsia" w:ascii="仿宋_GB2312" w:hAnsi="微软雅黑" w:eastAsia="仿宋_GB2312"/>
          <w:b/>
          <w:bCs/>
          <w:sz w:val="36"/>
          <w:szCs w:val="36"/>
          <w:lang w:val="en-US" w:eastAsia="zh-CN"/>
        </w:rPr>
        <w:t>楼镇</w:t>
      </w:r>
      <w:r>
        <w:rPr>
          <w:rFonts w:hint="eastAsia" w:ascii="仿宋_GB2312" w:hAnsi="微软雅黑" w:eastAsia="仿宋_GB2312"/>
          <w:b/>
          <w:bCs/>
          <w:sz w:val="36"/>
          <w:szCs w:val="36"/>
          <w:lang w:eastAsia="zh-CN"/>
        </w:rPr>
        <w:t>村</w:t>
      </w:r>
      <w:r>
        <w:rPr>
          <w:rFonts w:hint="eastAsia" w:ascii="仿宋_GB2312" w:hAnsi="微软雅黑" w:eastAsia="仿宋_GB2312"/>
          <w:b/>
          <w:bCs/>
          <w:sz w:val="36"/>
          <w:szCs w:val="36"/>
        </w:rPr>
        <w:t>村庄规划管制规则</w:t>
      </w:r>
    </w:p>
    <w:p w14:paraId="5EA51988">
      <w:pPr>
        <w:spacing w:line="360" w:lineRule="auto"/>
        <w:jc w:val="center"/>
        <w:rPr>
          <w:rFonts w:ascii="仿宋_GB2312" w:hAnsi="微软雅黑" w:eastAsia="仿宋_GB2312"/>
          <w:b/>
          <w:bCs/>
          <w:sz w:val="28"/>
          <w:szCs w:val="28"/>
        </w:rPr>
      </w:pPr>
    </w:p>
    <w:p w14:paraId="14AEDF24">
      <w:pPr>
        <w:pStyle w:val="7"/>
        <w:numPr>
          <w:ilvl w:val="0"/>
          <w:numId w:val="1"/>
        </w:numPr>
        <w:spacing w:before="0" w:after="0" w:line="360" w:lineRule="auto"/>
        <w:jc w:val="left"/>
        <w:rPr>
          <w:rFonts w:ascii="仿宋_GB2312" w:hAnsi="微软雅黑" w:eastAsia="仿宋_GB2312"/>
          <w:sz w:val="28"/>
          <w:szCs w:val="28"/>
        </w:rPr>
      </w:pPr>
      <w:r>
        <w:rPr>
          <w:rFonts w:hint="eastAsia" w:ascii="仿宋_GB2312" w:hAnsi="微软雅黑" w:eastAsia="仿宋_GB2312"/>
          <w:sz w:val="28"/>
          <w:szCs w:val="28"/>
        </w:rPr>
        <w:t>耕地和永久基本农田保护</w:t>
      </w:r>
    </w:p>
    <w:p w14:paraId="7EDA05CA">
      <w:pPr>
        <w:pStyle w:val="13"/>
        <w:numPr>
          <w:ilvl w:val="0"/>
          <w:numId w:val="2"/>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本村内已划定永久基本农田</w:t>
      </w:r>
      <w:r>
        <w:rPr>
          <w:rFonts w:hint="eastAsia" w:ascii="仿宋_GB2312" w:hAnsi="微软雅黑" w:eastAsia="仿宋_GB2312"/>
          <w:sz w:val="28"/>
          <w:szCs w:val="28"/>
          <w:lang w:val="en-US" w:eastAsia="zh-CN"/>
        </w:rPr>
        <w:t>82.16</w:t>
      </w:r>
      <w:r>
        <w:rPr>
          <w:rFonts w:hint="eastAsia" w:ascii="仿宋_GB2312" w:hAnsi="微软雅黑" w:eastAsia="仿宋_GB2312"/>
          <w:sz w:val="28"/>
          <w:szCs w:val="28"/>
        </w:rPr>
        <w:t>公顷，主要集中分布在</w:t>
      </w:r>
      <w:r>
        <w:rPr>
          <w:rFonts w:hint="eastAsia" w:ascii="仿宋_GB2312" w:hAnsi="微软雅黑" w:eastAsia="仿宋_GB2312"/>
          <w:sz w:val="28"/>
          <w:szCs w:val="28"/>
          <w:lang w:val="en-US" w:eastAsia="zh-CN"/>
        </w:rPr>
        <w:t>东</w:t>
      </w:r>
      <w:r>
        <w:rPr>
          <w:rFonts w:hint="eastAsia" w:ascii="仿宋_GB2312" w:hAnsi="微软雅黑" w:eastAsia="仿宋_GB2312"/>
          <w:sz w:val="28"/>
          <w:szCs w:val="28"/>
        </w:rPr>
        <w:t>部农田集聚区域，任何单位和个人不得擅自占用或改变用途。</w:t>
      </w:r>
    </w:p>
    <w:p w14:paraId="0F3A96FF">
      <w:pPr>
        <w:pStyle w:val="13"/>
        <w:numPr>
          <w:ilvl w:val="0"/>
          <w:numId w:val="2"/>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本村耕地保</w:t>
      </w:r>
      <w:r>
        <w:rPr>
          <w:rFonts w:hint="eastAsia" w:ascii="仿宋_GB2312" w:hAnsi="微软雅黑" w:eastAsia="仿宋_GB2312"/>
          <w:sz w:val="28"/>
          <w:szCs w:val="28"/>
          <w:lang w:val="en-US" w:eastAsia="zh-CN"/>
        </w:rPr>
        <w:t>有量94.88公顷</w:t>
      </w:r>
      <w:r>
        <w:rPr>
          <w:rFonts w:hint="eastAsia" w:ascii="仿宋_GB2312" w:hAnsi="微软雅黑" w:eastAsia="仿宋_GB2312"/>
          <w:sz w:val="28"/>
          <w:szCs w:val="28"/>
        </w:rPr>
        <w:t>，建设活动不得随意占用耕地；确需占用的，应按照《中华人民共和国土地管理法》等规定办理占用审批手续。</w:t>
      </w:r>
    </w:p>
    <w:p w14:paraId="5F7377D2">
      <w:pPr>
        <w:pStyle w:val="13"/>
        <w:numPr>
          <w:ilvl w:val="0"/>
          <w:numId w:val="2"/>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未经批准，不得在非建设用地内进行非农建设活动，不得进行毁林开垦、采石、挖沙、采矿、取土等活动。</w:t>
      </w:r>
    </w:p>
    <w:p w14:paraId="42BB7506">
      <w:pPr>
        <w:pStyle w:val="13"/>
        <w:numPr>
          <w:ilvl w:val="0"/>
          <w:numId w:val="2"/>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本村内</w:t>
      </w:r>
      <w:r>
        <w:rPr>
          <w:rFonts w:hint="eastAsia" w:ascii="仿宋_GB2312" w:hAnsi="微软雅黑" w:eastAsia="仿宋_GB2312"/>
          <w:sz w:val="28"/>
          <w:szCs w:val="28"/>
          <w:lang w:val="en-US" w:eastAsia="zh-CN"/>
        </w:rPr>
        <w:t>农业设施建设用地</w:t>
      </w:r>
      <w:r>
        <w:rPr>
          <w:rFonts w:hint="eastAsia" w:ascii="仿宋_GB2312" w:hAnsi="微软雅黑" w:eastAsia="仿宋_GB2312"/>
          <w:sz w:val="28"/>
          <w:szCs w:val="28"/>
        </w:rPr>
        <w:t>有</w:t>
      </w:r>
      <w:r>
        <w:rPr>
          <w:rFonts w:hint="eastAsia" w:ascii="仿宋_GB2312" w:hAnsi="微软雅黑" w:eastAsia="仿宋_GB2312"/>
          <w:sz w:val="28"/>
          <w:szCs w:val="28"/>
          <w:lang w:val="en-US" w:eastAsia="zh-CN"/>
        </w:rPr>
        <w:t>91</w:t>
      </w:r>
      <w:r>
        <w:rPr>
          <w:rFonts w:hint="eastAsia" w:ascii="仿宋_GB2312" w:hAnsi="微软雅黑" w:eastAsia="仿宋_GB2312"/>
          <w:sz w:val="28"/>
          <w:szCs w:val="28"/>
        </w:rPr>
        <w:t>处，面积为</w:t>
      </w:r>
      <w:r>
        <w:rPr>
          <w:rFonts w:hint="eastAsia" w:ascii="仿宋_GB2312" w:hAnsi="微软雅黑" w:eastAsia="仿宋_GB2312"/>
          <w:sz w:val="28"/>
          <w:szCs w:val="28"/>
          <w:lang w:val="en-US" w:eastAsia="zh-CN"/>
        </w:rPr>
        <w:t>8.19</w:t>
      </w:r>
      <w:r>
        <w:rPr>
          <w:rFonts w:hint="eastAsia" w:ascii="仿宋_GB2312" w:hAnsi="微软雅黑" w:eastAsia="仿宋_GB2312"/>
          <w:sz w:val="28"/>
          <w:szCs w:val="28"/>
        </w:rPr>
        <w:t>公顷，主要为</w:t>
      </w:r>
      <w:r>
        <w:rPr>
          <w:rFonts w:hint="eastAsia" w:ascii="仿宋_GB2312" w:hAnsi="微软雅黑" w:eastAsia="仿宋_GB2312"/>
          <w:sz w:val="28"/>
          <w:szCs w:val="28"/>
          <w:lang w:val="en-US" w:eastAsia="zh-CN"/>
        </w:rPr>
        <w:t>农村道路用地、设施农用地</w:t>
      </w:r>
      <w:r>
        <w:rPr>
          <w:rFonts w:hint="eastAsia" w:ascii="仿宋_GB2312" w:hAnsi="微软雅黑" w:eastAsia="仿宋_GB2312"/>
          <w:sz w:val="28"/>
          <w:szCs w:val="28"/>
        </w:rPr>
        <w:t>。应按规定要求</w:t>
      </w:r>
      <w:r>
        <w:rPr>
          <w:rFonts w:hint="eastAsia" w:ascii="仿宋_GB2312" w:hAnsi="微软雅黑" w:eastAsia="仿宋_GB2312"/>
          <w:sz w:val="28"/>
          <w:szCs w:val="28"/>
          <w:lang w:val="en-US" w:eastAsia="zh-CN"/>
        </w:rPr>
        <w:t>建设</w:t>
      </w:r>
      <w:r>
        <w:rPr>
          <w:rFonts w:hint="eastAsia" w:ascii="仿宋_GB2312" w:hAnsi="微软雅黑" w:eastAsia="仿宋_GB2312"/>
          <w:sz w:val="28"/>
          <w:szCs w:val="28"/>
        </w:rPr>
        <w:t>设施和使用土地，不得擅自或变相将设施农用地用于其他非农建设，并采取措施防止对土壤耕作层破坏和污染</w:t>
      </w:r>
      <w:r>
        <w:rPr>
          <w:rFonts w:hint="eastAsia" w:ascii="仿宋_GB2312" w:hAnsi="微软雅黑" w:eastAsia="仿宋_GB2312"/>
          <w:sz w:val="28"/>
          <w:szCs w:val="28"/>
          <w:lang w:eastAsia="zh-CN"/>
        </w:rPr>
        <w:t>。</w:t>
      </w:r>
    </w:p>
    <w:p w14:paraId="2344B0ED">
      <w:pPr>
        <w:pStyle w:val="7"/>
        <w:numPr>
          <w:ilvl w:val="0"/>
          <w:numId w:val="1"/>
        </w:numPr>
        <w:spacing w:before="0" w:after="0" w:line="360" w:lineRule="auto"/>
        <w:jc w:val="left"/>
        <w:rPr>
          <w:rFonts w:ascii="仿宋_GB2312" w:hAnsi="微软雅黑" w:eastAsia="仿宋_GB2312"/>
          <w:sz w:val="28"/>
          <w:szCs w:val="28"/>
        </w:rPr>
      </w:pPr>
      <w:r>
        <w:rPr>
          <w:rFonts w:hint="eastAsia" w:ascii="仿宋_GB2312" w:hAnsi="微软雅黑" w:eastAsia="仿宋_GB2312"/>
          <w:sz w:val="28"/>
          <w:szCs w:val="28"/>
        </w:rPr>
        <w:t>生态保护</w:t>
      </w:r>
    </w:p>
    <w:p w14:paraId="66EB50CF">
      <w:pPr>
        <w:pStyle w:val="13"/>
        <w:numPr>
          <w:ilvl w:val="0"/>
          <w:numId w:val="3"/>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本村</w:t>
      </w:r>
      <w:r>
        <w:rPr>
          <w:rFonts w:hint="eastAsia" w:ascii="仿宋_GB2312" w:hAnsi="微软雅黑" w:eastAsia="仿宋_GB2312"/>
          <w:sz w:val="28"/>
          <w:szCs w:val="28"/>
          <w:lang w:val="en-US" w:eastAsia="zh-CN"/>
        </w:rPr>
        <w:t>暂未</w:t>
      </w:r>
      <w:r>
        <w:rPr>
          <w:rFonts w:hint="eastAsia" w:ascii="仿宋_GB2312" w:hAnsi="微软雅黑" w:eastAsia="仿宋_GB2312"/>
          <w:sz w:val="28"/>
          <w:szCs w:val="28"/>
        </w:rPr>
        <w:t>划入生态保护红线，禁止在生态保护红线范围内从事不符合国家和省规定的建设活动。</w:t>
      </w:r>
    </w:p>
    <w:p w14:paraId="3FFA3C45">
      <w:pPr>
        <w:pStyle w:val="13"/>
        <w:numPr>
          <w:ilvl w:val="0"/>
          <w:numId w:val="3"/>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保护村内生态林、水域、自然保护地等生态用地，主要为村域山体林地，不得进行破坏生态景观、污染环境的开发建设活动，做到慎砍树、禁挖山、不填湖。</w:t>
      </w:r>
    </w:p>
    <w:p w14:paraId="4A65F642">
      <w:pPr>
        <w:pStyle w:val="7"/>
        <w:numPr>
          <w:ilvl w:val="0"/>
          <w:numId w:val="1"/>
        </w:numPr>
        <w:spacing w:before="0" w:after="0" w:line="360" w:lineRule="auto"/>
        <w:jc w:val="left"/>
        <w:rPr>
          <w:rFonts w:ascii="仿宋_GB2312" w:hAnsi="微软雅黑" w:eastAsia="仿宋_GB2312"/>
          <w:sz w:val="28"/>
          <w:szCs w:val="28"/>
        </w:rPr>
      </w:pPr>
      <w:r>
        <w:rPr>
          <w:rFonts w:hint="eastAsia" w:ascii="仿宋_GB2312" w:hAnsi="微软雅黑" w:eastAsia="仿宋_GB2312"/>
          <w:sz w:val="28"/>
          <w:szCs w:val="28"/>
        </w:rPr>
        <w:t>历史文化传承与保护</w:t>
      </w:r>
    </w:p>
    <w:p w14:paraId="277E7877">
      <w:pPr>
        <w:pStyle w:val="13"/>
        <w:numPr>
          <w:ilvl w:val="0"/>
          <w:numId w:val="4"/>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lang w:val="en-US" w:eastAsia="zh-CN"/>
        </w:rPr>
        <w:t>楼镇</w:t>
      </w:r>
      <w:r>
        <w:rPr>
          <w:rFonts w:hint="eastAsia" w:ascii="仿宋_GB2312" w:hAnsi="微软雅黑" w:eastAsia="仿宋_GB2312"/>
          <w:sz w:val="28"/>
          <w:szCs w:val="28"/>
        </w:rPr>
        <w:t>村结合了和平县当地的传统美术、竹编、装置等工艺，</w:t>
      </w:r>
      <w:r>
        <w:rPr>
          <w:rFonts w:hint="eastAsia" w:ascii="仿宋_GB2312" w:hAnsi="微软雅黑" w:eastAsia="仿宋_GB2312"/>
          <w:sz w:val="28"/>
          <w:szCs w:val="28"/>
          <w:lang w:val="en-US" w:eastAsia="zh-CN"/>
        </w:rPr>
        <w:t>具有特色</w:t>
      </w:r>
      <w:r>
        <w:rPr>
          <w:rFonts w:hint="eastAsia" w:ascii="仿宋_GB2312" w:hAnsi="微软雅黑" w:eastAsia="仿宋_GB2312"/>
          <w:sz w:val="28"/>
          <w:szCs w:val="28"/>
        </w:rPr>
        <w:t>“楼镇彩扎”</w:t>
      </w:r>
      <w:r>
        <w:rPr>
          <w:rFonts w:hint="eastAsia" w:ascii="仿宋_GB2312" w:hAnsi="微软雅黑" w:eastAsia="仿宋_GB2312"/>
          <w:sz w:val="28"/>
          <w:szCs w:val="28"/>
          <w:lang w:val="en-US" w:eastAsia="zh-CN"/>
        </w:rPr>
        <w:t>文化</w:t>
      </w:r>
      <w:r>
        <w:rPr>
          <w:rFonts w:hint="eastAsia" w:ascii="仿宋_GB2312" w:hAnsi="微软雅黑" w:eastAsia="仿宋_GB2312"/>
          <w:sz w:val="28"/>
          <w:szCs w:val="28"/>
        </w:rPr>
        <w:t>。</w:t>
      </w:r>
      <w:r>
        <w:rPr>
          <w:rFonts w:hint="eastAsia" w:ascii="仿宋_GB2312" w:hAnsi="微软雅黑" w:eastAsia="仿宋_GB2312"/>
          <w:sz w:val="28"/>
          <w:szCs w:val="28"/>
          <w:lang w:val="en-US" w:eastAsia="zh-CN"/>
        </w:rPr>
        <w:t>境内暂无不可移动文物、其他等级文物保护单位、古树以及历史建筑、非物质文化遗产等。</w:t>
      </w:r>
    </w:p>
    <w:p w14:paraId="1FE03519">
      <w:pPr>
        <w:pStyle w:val="13"/>
        <w:numPr>
          <w:ilvl w:val="0"/>
          <w:numId w:val="4"/>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本次规划参照《中华人民共和国文物保护法》《历史文化名城名镇名村保护条例》、《城市紫线管理办法》、《广东省历史建筑和传统风貌建筑保护利用工作指引(试行)》、《广东省非物质文化遗产条例》等相关依据要求对村内非物质文化、物质文化以及现状老树等资源进行保护。</w:t>
      </w:r>
    </w:p>
    <w:p w14:paraId="078021C2">
      <w:pPr>
        <w:pStyle w:val="7"/>
        <w:numPr>
          <w:ilvl w:val="0"/>
          <w:numId w:val="1"/>
        </w:numPr>
        <w:spacing w:before="0" w:after="0" w:line="360" w:lineRule="auto"/>
        <w:jc w:val="left"/>
        <w:rPr>
          <w:rFonts w:ascii="仿宋_GB2312" w:hAnsi="微软雅黑" w:eastAsia="仿宋_GB2312"/>
          <w:sz w:val="28"/>
          <w:szCs w:val="28"/>
        </w:rPr>
      </w:pPr>
      <w:r>
        <w:rPr>
          <w:rFonts w:hint="eastAsia" w:ascii="仿宋_GB2312" w:hAnsi="微软雅黑" w:eastAsia="仿宋_GB2312"/>
          <w:sz w:val="28"/>
          <w:szCs w:val="28"/>
        </w:rPr>
        <w:t>生活空间管制</w:t>
      </w:r>
    </w:p>
    <w:p w14:paraId="2E321A3E">
      <w:pPr>
        <w:spacing w:line="360" w:lineRule="auto"/>
        <w:ind w:firstLine="560" w:firstLineChars="200"/>
        <w:rPr>
          <w:rFonts w:ascii="仿宋_GB2312" w:hAnsi="微软雅黑" w:eastAsia="仿宋_GB2312"/>
          <w:sz w:val="28"/>
          <w:szCs w:val="28"/>
        </w:rPr>
      </w:pPr>
      <w:r>
        <w:rPr>
          <w:rFonts w:hint="eastAsia" w:ascii="仿宋_GB2312" w:hAnsi="微软雅黑" w:eastAsia="仿宋_GB2312"/>
          <w:sz w:val="28"/>
          <w:szCs w:val="28"/>
        </w:rPr>
        <w:t>本村内村庄建设用地规模为</w:t>
      </w:r>
      <w:r>
        <w:rPr>
          <w:rFonts w:hint="eastAsia" w:ascii="仿宋_GB2312" w:hAnsi="微软雅黑" w:eastAsia="仿宋_GB2312"/>
          <w:sz w:val="28"/>
          <w:szCs w:val="28"/>
          <w:lang w:val="en-US" w:eastAsia="zh-CN"/>
        </w:rPr>
        <w:t>36.47</w:t>
      </w:r>
      <w:r>
        <w:rPr>
          <w:rFonts w:hint="eastAsia" w:ascii="仿宋_GB2312" w:hAnsi="微软雅黑" w:eastAsia="仿宋_GB2312"/>
          <w:sz w:val="28"/>
          <w:szCs w:val="28"/>
        </w:rPr>
        <w:t>公顷，城镇开发边界规模为</w:t>
      </w:r>
      <w:r>
        <w:rPr>
          <w:rFonts w:hint="eastAsia" w:ascii="仿宋_GB2312" w:hAnsi="微软雅黑" w:eastAsia="仿宋_GB2312"/>
          <w:sz w:val="28"/>
          <w:szCs w:val="28"/>
          <w:lang w:val="en-US" w:eastAsia="zh-CN"/>
        </w:rPr>
        <w:t>0</w:t>
      </w:r>
      <w:r>
        <w:rPr>
          <w:rFonts w:hint="eastAsia" w:ascii="仿宋_GB2312" w:hAnsi="微软雅黑" w:eastAsia="仿宋_GB2312"/>
          <w:sz w:val="28"/>
          <w:szCs w:val="28"/>
        </w:rPr>
        <w:t>公顷。</w:t>
      </w:r>
    </w:p>
    <w:p w14:paraId="664B54FA">
      <w:pPr>
        <w:pStyle w:val="13"/>
        <w:numPr>
          <w:ilvl w:val="0"/>
          <w:numId w:val="5"/>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产业发展空间</w:t>
      </w:r>
    </w:p>
    <w:p w14:paraId="23739F77">
      <w:pPr>
        <w:pStyle w:val="13"/>
        <w:numPr>
          <w:ilvl w:val="0"/>
          <w:numId w:val="6"/>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经营性建设用地建筑密度建议控制在40％以下，建筑高度不超过15米，容积率不超过1.5，绿地率大于35％。</w:t>
      </w:r>
    </w:p>
    <w:p w14:paraId="235ACCB7">
      <w:pPr>
        <w:pStyle w:val="13"/>
        <w:numPr>
          <w:ilvl w:val="0"/>
          <w:numId w:val="6"/>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经营性建设用地调整应经村民小组确认，由村委会审查同意，逐级报村庄规划原审批机关批准。</w:t>
      </w:r>
    </w:p>
    <w:p w14:paraId="16A54A38">
      <w:pPr>
        <w:pStyle w:val="13"/>
        <w:numPr>
          <w:ilvl w:val="0"/>
          <w:numId w:val="5"/>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农村住房</w:t>
      </w:r>
    </w:p>
    <w:p w14:paraId="7555FECA">
      <w:pPr>
        <w:pStyle w:val="13"/>
        <w:numPr>
          <w:ilvl w:val="0"/>
          <w:numId w:val="7"/>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本村内划定宅基地面积</w:t>
      </w:r>
      <w:r>
        <w:rPr>
          <w:rFonts w:hint="eastAsia" w:ascii="仿宋_GB2312" w:hAnsi="微软雅黑" w:eastAsia="仿宋_GB2312"/>
          <w:sz w:val="28"/>
          <w:szCs w:val="28"/>
          <w:lang w:val="en-US" w:eastAsia="zh-CN"/>
        </w:rPr>
        <w:t>25.89</w:t>
      </w:r>
      <w:r>
        <w:rPr>
          <w:rFonts w:hint="eastAsia" w:ascii="仿宋_GB2312" w:hAnsi="微软雅黑" w:eastAsia="仿宋_GB2312"/>
          <w:sz w:val="28"/>
          <w:szCs w:val="28"/>
        </w:rPr>
        <w:t>公顷，规定新申请的宅基地每户建筑基底面积控制在1</w:t>
      </w:r>
      <w:r>
        <w:rPr>
          <w:rFonts w:hint="eastAsia" w:ascii="仿宋_GB2312" w:hAnsi="微软雅黑" w:eastAsia="仿宋_GB2312"/>
          <w:sz w:val="28"/>
          <w:szCs w:val="28"/>
          <w:lang w:val="en-US" w:eastAsia="zh-CN"/>
        </w:rPr>
        <w:t>5</w:t>
      </w:r>
      <w:r>
        <w:rPr>
          <w:rFonts w:hint="eastAsia" w:ascii="仿宋_GB2312" w:hAnsi="微软雅黑" w:eastAsia="仿宋_GB2312"/>
          <w:sz w:val="28"/>
          <w:szCs w:val="28"/>
        </w:rPr>
        <w:t>0平方米以下（含1</w:t>
      </w:r>
      <w:r>
        <w:rPr>
          <w:rFonts w:hint="eastAsia" w:ascii="仿宋_GB2312" w:hAnsi="微软雅黑" w:eastAsia="仿宋_GB2312"/>
          <w:sz w:val="28"/>
          <w:szCs w:val="28"/>
          <w:lang w:val="en-US" w:eastAsia="zh-CN"/>
        </w:rPr>
        <w:t>5</w:t>
      </w:r>
      <w:bookmarkStart w:id="0" w:name="_GoBack"/>
      <w:bookmarkEnd w:id="0"/>
      <w:r>
        <w:rPr>
          <w:rFonts w:hint="eastAsia" w:ascii="仿宋_GB2312" w:hAnsi="微软雅黑" w:eastAsia="仿宋_GB2312"/>
          <w:sz w:val="28"/>
          <w:szCs w:val="28"/>
        </w:rPr>
        <w:t>0平方米），应在划定的宅基地建设范围内，且优先利用村内空闲地、闲置宅基地和未利用地的</w:t>
      </w:r>
      <w:r>
        <w:rPr>
          <w:rFonts w:hint="eastAsia" w:ascii="仿宋_GB2312" w:hAnsi="微软雅黑" w:eastAsia="仿宋_GB2312"/>
          <w:sz w:val="28"/>
          <w:szCs w:val="28"/>
          <w:lang w:val="en-US" w:eastAsia="zh-CN"/>
        </w:rPr>
        <w:t>村庄</w:t>
      </w:r>
      <w:r>
        <w:rPr>
          <w:rFonts w:hint="eastAsia" w:ascii="仿宋_GB2312" w:hAnsi="微软雅黑" w:eastAsia="仿宋_GB2312"/>
          <w:sz w:val="28"/>
          <w:szCs w:val="28"/>
        </w:rPr>
        <w:t>建设用地。</w:t>
      </w:r>
    </w:p>
    <w:p w14:paraId="1A21E532">
      <w:pPr>
        <w:pStyle w:val="13"/>
        <w:numPr>
          <w:ilvl w:val="0"/>
          <w:numId w:val="7"/>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村民建房建筑层数不超过3层</w:t>
      </w:r>
      <w:r>
        <w:rPr>
          <w:rFonts w:hint="eastAsia" w:ascii="仿宋_GB2312" w:hAnsi="微软雅黑" w:eastAsia="仿宋_GB2312"/>
          <w:sz w:val="28"/>
          <w:szCs w:val="28"/>
          <w:lang w:val="en-US" w:eastAsia="zh-CN"/>
        </w:rPr>
        <w:t>半</w:t>
      </w:r>
      <w:r>
        <w:rPr>
          <w:rFonts w:hint="eastAsia" w:ascii="仿宋_GB2312" w:hAnsi="微软雅黑" w:eastAsia="仿宋_GB2312"/>
          <w:sz w:val="28"/>
          <w:szCs w:val="28"/>
        </w:rPr>
        <w:t>，新建住房建筑层数不超过三层</w:t>
      </w:r>
      <w:r>
        <w:rPr>
          <w:rFonts w:hint="eastAsia" w:ascii="仿宋_GB2312" w:hAnsi="微软雅黑" w:eastAsia="仿宋_GB2312"/>
          <w:sz w:val="28"/>
          <w:szCs w:val="28"/>
          <w:lang w:val="en-US" w:eastAsia="zh-CN"/>
        </w:rPr>
        <w:t>半</w:t>
      </w:r>
      <w:r>
        <w:rPr>
          <w:rFonts w:hint="eastAsia" w:ascii="仿宋_GB2312" w:hAnsi="微软雅黑" w:eastAsia="仿宋_GB2312"/>
          <w:sz w:val="28"/>
          <w:szCs w:val="28"/>
        </w:rPr>
        <w:t>：建筑总面积不超过3</w:t>
      </w:r>
      <w:r>
        <w:rPr>
          <w:rFonts w:hint="eastAsia" w:ascii="仿宋_GB2312" w:hAnsi="微软雅黑" w:eastAsia="仿宋_GB2312"/>
          <w:sz w:val="28"/>
          <w:szCs w:val="28"/>
          <w:lang w:val="en-US" w:eastAsia="zh-CN"/>
        </w:rPr>
        <w:t>5</w:t>
      </w:r>
      <w:r>
        <w:rPr>
          <w:rFonts w:hint="eastAsia" w:ascii="仿宋_GB2312" w:hAnsi="微软雅黑" w:eastAsia="仿宋_GB2312"/>
          <w:sz w:val="28"/>
          <w:szCs w:val="28"/>
        </w:rPr>
        <w:t>0平方米，首层不高于4.5米，其余每层不高于3.5米。新建住宅应采用客家民居风格的建筑，符合村庄整体景观风貌控制性要求</w:t>
      </w:r>
      <w:r>
        <w:rPr>
          <w:rFonts w:hint="eastAsia" w:ascii="仿宋_GB2312" w:hAnsi="微软雅黑" w:eastAsia="仿宋_GB2312"/>
          <w:sz w:val="28"/>
          <w:szCs w:val="28"/>
          <w:lang w:eastAsia="zh-CN"/>
        </w:rPr>
        <w:t>。</w:t>
      </w:r>
    </w:p>
    <w:p w14:paraId="3983F6FB">
      <w:pPr>
        <w:pStyle w:val="13"/>
        <w:numPr>
          <w:ilvl w:val="0"/>
          <w:numId w:val="7"/>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lang w:val="en-US" w:eastAsia="zh-CN"/>
        </w:rPr>
        <w:t>新建住宅必须符合《和平县农村宅基地审批管理工作指引(试行)》。</w:t>
      </w:r>
    </w:p>
    <w:p w14:paraId="42098F1C">
      <w:pPr>
        <w:pStyle w:val="13"/>
        <w:numPr>
          <w:ilvl w:val="0"/>
          <w:numId w:val="5"/>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基础设施和公共服务设施</w:t>
      </w:r>
    </w:p>
    <w:p w14:paraId="009FF3DF">
      <w:pPr>
        <w:pStyle w:val="13"/>
        <w:numPr>
          <w:ilvl w:val="0"/>
          <w:numId w:val="8"/>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不得占用交通用地建房，规范做好道路退让红线。公路用地外缘起向外的距离标准为:国道不少于20米，省道不少于15米，县道不少于10米，乡道不少于5米。在村内主要道路两侧建房应退后2米。</w:t>
      </w:r>
    </w:p>
    <w:p w14:paraId="77B0CDE2">
      <w:pPr>
        <w:pStyle w:val="13"/>
        <w:numPr>
          <w:ilvl w:val="0"/>
          <w:numId w:val="8"/>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村内用水沿用现状供水水源，按需增设污水处理设施，房屋排水接口需向村民小组确认后再进行建设。</w:t>
      </w:r>
    </w:p>
    <w:p w14:paraId="7D696103">
      <w:pPr>
        <w:pStyle w:val="13"/>
        <w:numPr>
          <w:ilvl w:val="0"/>
          <w:numId w:val="8"/>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垃圾收集点、公厕、污水处理设施等基础设施用地及综合服务站、基层综合性文化服务中心、卫生站等公共服务设施用地，村民不得随意占用</w:t>
      </w:r>
      <w:r>
        <w:rPr>
          <w:rFonts w:hint="eastAsia" w:ascii="仿宋_GB2312" w:hAnsi="微软雅黑" w:eastAsia="仿宋_GB2312"/>
          <w:sz w:val="28"/>
          <w:szCs w:val="28"/>
          <w:lang w:eastAsia="zh-CN"/>
        </w:rPr>
        <w:t>。</w:t>
      </w:r>
    </w:p>
    <w:p w14:paraId="461F9A11">
      <w:pPr>
        <w:pStyle w:val="7"/>
        <w:numPr>
          <w:ilvl w:val="0"/>
          <w:numId w:val="1"/>
        </w:numPr>
        <w:spacing w:before="0" w:after="0" w:line="360" w:lineRule="auto"/>
        <w:jc w:val="left"/>
        <w:rPr>
          <w:rFonts w:ascii="仿宋_GB2312" w:hAnsi="微软雅黑" w:eastAsia="仿宋_GB2312"/>
          <w:sz w:val="28"/>
          <w:szCs w:val="28"/>
        </w:rPr>
      </w:pPr>
      <w:r>
        <w:rPr>
          <w:rFonts w:hint="eastAsia" w:ascii="仿宋_GB2312" w:hAnsi="微软雅黑" w:eastAsia="仿宋_GB2312"/>
          <w:sz w:val="28"/>
          <w:szCs w:val="28"/>
        </w:rPr>
        <w:t>村庄安全和防灾减灾</w:t>
      </w:r>
    </w:p>
    <w:p w14:paraId="75CAEE07">
      <w:pPr>
        <w:pStyle w:val="13"/>
        <w:numPr>
          <w:ilvl w:val="0"/>
          <w:numId w:val="9"/>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村民的宅基地选址和农房建设应尽量避让地质灾害隐患点和现状坑塘、陡坡等不适宜建设区。</w:t>
      </w:r>
    </w:p>
    <w:p w14:paraId="01781E27">
      <w:pPr>
        <w:pStyle w:val="13"/>
        <w:numPr>
          <w:ilvl w:val="0"/>
          <w:numId w:val="9"/>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禁止在河道管理范围内建设房屋等妨碍河道行洪的建筑物、构筑物，禁止在堤防和护堤地建房。</w:t>
      </w:r>
    </w:p>
    <w:p w14:paraId="77F582FF">
      <w:pPr>
        <w:pStyle w:val="13"/>
        <w:numPr>
          <w:ilvl w:val="0"/>
          <w:numId w:val="9"/>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村庄建筑的间距和通道的设置应符合村庄消防安全的要求，不得少于4米；道路</w:t>
      </w:r>
      <w:r>
        <w:rPr>
          <w:rFonts w:hint="eastAsia" w:ascii="仿宋_GB2312" w:hAnsi="微软雅黑" w:eastAsia="仿宋_GB2312"/>
          <w:sz w:val="28"/>
          <w:szCs w:val="28"/>
          <w:lang w:val="en-US" w:eastAsia="zh-CN"/>
        </w:rPr>
        <w:t>Y230、Y228乡道</w:t>
      </w:r>
      <w:r>
        <w:rPr>
          <w:rFonts w:hint="eastAsia" w:ascii="仿宋_GB2312" w:hAnsi="微软雅黑" w:eastAsia="仿宋_GB2312"/>
          <w:sz w:val="28"/>
          <w:szCs w:val="28"/>
        </w:rPr>
        <w:t>为消防通道，不准长期堆放阻碍交通的杂物。</w:t>
      </w:r>
    </w:p>
    <w:p w14:paraId="245A2578">
      <w:pPr>
        <w:pStyle w:val="13"/>
        <w:numPr>
          <w:ilvl w:val="0"/>
          <w:numId w:val="9"/>
        </w:numPr>
        <w:spacing w:line="360" w:lineRule="auto"/>
        <w:ind w:firstLineChars="0"/>
        <w:rPr>
          <w:rFonts w:ascii="仿宋_GB2312" w:hAnsi="微软雅黑" w:eastAsia="仿宋_GB2312"/>
          <w:sz w:val="28"/>
          <w:szCs w:val="28"/>
        </w:rPr>
      </w:pPr>
      <w:r>
        <w:rPr>
          <w:rFonts w:hint="eastAsia" w:ascii="仿宋_GB2312" w:hAnsi="微软雅黑" w:eastAsia="仿宋_GB2312"/>
          <w:sz w:val="28"/>
          <w:szCs w:val="28"/>
        </w:rPr>
        <w:t>公园、文体广场、闲置学校以及健身场地等空旷场地为防灾避险场所，紧急情况下可躲避灾害</w:t>
      </w:r>
      <w:r>
        <w:rPr>
          <w:rFonts w:hint="eastAsia" w:ascii="仿宋_GB2312" w:hAnsi="微软雅黑" w:eastAsia="仿宋_GB2312"/>
          <w:sz w:val="28"/>
          <w:szCs w:val="28"/>
          <w:lang w:eastAsia="zh-CN"/>
        </w:rPr>
        <w:t>。</w:t>
      </w:r>
    </w:p>
    <w:p w14:paraId="7B68DE8B">
      <w:pPr>
        <w:pStyle w:val="7"/>
        <w:spacing w:before="0" w:after="0" w:line="360" w:lineRule="auto"/>
        <w:jc w:val="left"/>
        <w:rPr>
          <w:rFonts w:ascii="仿宋_GB2312" w:hAnsi="微软雅黑" w:eastAsia="仿宋_GB2312"/>
          <w:sz w:val="28"/>
          <w:szCs w:val="28"/>
        </w:rPr>
      </w:pPr>
    </w:p>
    <w:sectPr>
      <w:pgSz w:w="11905" w:h="16837"/>
      <w:pgMar w:top="1440" w:right="1800" w:bottom="1440" w:left="1800" w:header="720" w:footer="720" w:gutter="0"/>
      <w:cols w:space="720" w:num="1"/>
      <w:docGrid w:linePitch="27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58D24F5"/>
    <w:multiLevelType w:val="multilevel"/>
    <w:tmpl w:val="058D24F5"/>
    <w:lvl w:ilvl="0" w:tentative="0">
      <w:start w:val="1"/>
      <w:numFmt w:val="decimal"/>
      <w:lvlText w:val="（%1）"/>
      <w:lvlJc w:val="left"/>
      <w:pPr>
        <w:ind w:left="440" w:hanging="44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
    <w:nsid w:val="0DCF6D9D"/>
    <w:multiLevelType w:val="multilevel"/>
    <w:tmpl w:val="0DCF6D9D"/>
    <w:lvl w:ilvl="0" w:tentative="0">
      <w:start w:val="1"/>
      <w:numFmt w:val="decimal"/>
      <w:lvlText w:val="（%1）"/>
      <w:lvlJc w:val="left"/>
      <w:pPr>
        <w:ind w:left="720" w:hanging="72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
    <w:nsid w:val="1DAD2B09"/>
    <w:multiLevelType w:val="multilevel"/>
    <w:tmpl w:val="1DAD2B09"/>
    <w:lvl w:ilvl="0" w:tentative="0">
      <w:start w:val="1"/>
      <w:numFmt w:val="chineseCountingThousand"/>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3">
    <w:nsid w:val="20226167"/>
    <w:multiLevelType w:val="multilevel"/>
    <w:tmpl w:val="20226167"/>
    <w:lvl w:ilvl="0" w:tentative="0">
      <w:start w:val="1"/>
      <w:numFmt w:val="decimal"/>
      <w:lvlText w:val="（%1）"/>
      <w:lvlJc w:val="left"/>
      <w:pPr>
        <w:ind w:left="440" w:hanging="440"/>
      </w:pPr>
      <w:rPr>
        <w:rFonts w:hint="eastAsia"/>
        <w:lang w:val="en-US"/>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
    <w:nsid w:val="23CD2A26"/>
    <w:multiLevelType w:val="multilevel"/>
    <w:tmpl w:val="23CD2A26"/>
    <w:lvl w:ilvl="0" w:tentative="0">
      <w:start w:val="1"/>
      <w:numFmt w:val="decimal"/>
      <w:lvlText w:val="（%1）"/>
      <w:lvlJc w:val="left"/>
      <w:pPr>
        <w:ind w:left="440" w:hanging="440"/>
      </w:pPr>
      <w:rPr>
        <w:rFonts w:hint="eastAsia"/>
        <w:lang w:val="en-US"/>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5">
    <w:nsid w:val="2A7C1E4E"/>
    <w:multiLevelType w:val="multilevel"/>
    <w:tmpl w:val="2A7C1E4E"/>
    <w:lvl w:ilvl="0" w:tentative="0">
      <w:start w:val="1"/>
      <w:numFmt w:val="decimal"/>
      <w:lvlText w:val="（%1）"/>
      <w:lvlJc w:val="left"/>
      <w:pPr>
        <w:ind w:left="440" w:hanging="440"/>
      </w:pPr>
      <w:rPr>
        <w:rFonts w:hint="eastAsia"/>
        <w:lang w:val="en-US"/>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6">
    <w:nsid w:val="51F564C2"/>
    <w:multiLevelType w:val="multilevel"/>
    <w:tmpl w:val="51F564C2"/>
    <w:lvl w:ilvl="0" w:tentative="0">
      <w:start w:val="1"/>
      <w:numFmt w:val="decimal"/>
      <w:lvlText w:val="（%1）"/>
      <w:lvlJc w:val="left"/>
      <w:pPr>
        <w:ind w:left="440" w:hanging="44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7">
    <w:nsid w:val="62866C6C"/>
    <w:multiLevelType w:val="multilevel"/>
    <w:tmpl w:val="62866C6C"/>
    <w:lvl w:ilvl="0" w:tentative="0">
      <w:start w:val="1"/>
      <w:numFmt w:val="decimal"/>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8">
    <w:nsid w:val="6E37072E"/>
    <w:multiLevelType w:val="multilevel"/>
    <w:tmpl w:val="6E37072E"/>
    <w:lvl w:ilvl="0" w:tentative="0">
      <w:start w:val="1"/>
      <w:numFmt w:val="decimal"/>
      <w:lvlText w:val="（%1）"/>
      <w:lvlJc w:val="left"/>
      <w:pPr>
        <w:ind w:left="440" w:hanging="440"/>
      </w:pPr>
      <w:rPr>
        <w:rFonts w:hint="eastAsia"/>
        <w:lang w:val="en-US"/>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2"/>
  </w:num>
  <w:num w:numId="2">
    <w:abstractNumId w:val="3"/>
  </w:num>
  <w:num w:numId="3">
    <w:abstractNumId w:val="4"/>
  </w:num>
  <w:num w:numId="4">
    <w:abstractNumId w:val="5"/>
  </w:num>
  <w:num w:numId="5">
    <w:abstractNumId w:val="7"/>
  </w:num>
  <w:num w:numId="6">
    <w:abstractNumId w:val="8"/>
  </w:num>
  <w:num w:numId="7">
    <w:abstractNumId w:val="1"/>
  </w:num>
  <w:num w:numId="8">
    <w:abstractNumId w:val="6"/>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5OTBhZTRmMzRjY2I5MjkxYjhhNTA5YzMyYjg1ZDkifQ=="/>
  </w:docVars>
  <w:rsids>
    <w:rsidRoot w:val="000243F6"/>
    <w:rsid w:val="000243F6"/>
    <w:rsid w:val="00036C8A"/>
    <w:rsid w:val="000B3F37"/>
    <w:rsid w:val="001120AB"/>
    <w:rsid w:val="00187A5E"/>
    <w:rsid w:val="001C16A2"/>
    <w:rsid w:val="003C300F"/>
    <w:rsid w:val="004827D6"/>
    <w:rsid w:val="004B665C"/>
    <w:rsid w:val="004E4C21"/>
    <w:rsid w:val="00566269"/>
    <w:rsid w:val="00656A7A"/>
    <w:rsid w:val="00742139"/>
    <w:rsid w:val="007E1565"/>
    <w:rsid w:val="007F7452"/>
    <w:rsid w:val="008E6427"/>
    <w:rsid w:val="009657CE"/>
    <w:rsid w:val="009834E7"/>
    <w:rsid w:val="00A15FA6"/>
    <w:rsid w:val="00A220F9"/>
    <w:rsid w:val="00A93AB5"/>
    <w:rsid w:val="00AC0721"/>
    <w:rsid w:val="00AC4943"/>
    <w:rsid w:val="00AD3B82"/>
    <w:rsid w:val="00AD7A52"/>
    <w:rsid w:val="00B12CA3"/>
    <w:rsid w:val="00B225C4"/>
    <w:rsid w:val="00B9395C"/>
    <w:rsid w:val="00C2683F"/>
    <w:rsid w:val="00DF47E0"/>
    <w:rsid w:val="00EC3A5E"/>
    <w:rsid w:val="00F20064"/>
    <w:rsid w:val="00F40E24"/>
    <w:rsid w:val="00F9164D"/>
    <w:rsid w:val="01BB3CD7"/>
    <w:rsid w:val="048B5BE2"/>
    <w:rsid w:val="050073AB"/>
    <w:rsid w:val="059D3E1F"/>
    <w:rsid w:val="09412D13"/>
    <w:rsid w:val="0D643474"/>
    <w:rsid w:val="0E9D53C7"/>
    <w:rsid w:val="0F022F45"/>
    <w:rsid w:val="156009C5"/>
    <w:rsid w:val="18243F2C"/>
    <w:rsid w:val="19362169"/>
    <w:rsid w:val="1C0302FC"/>
    <w:rsid w:val="22D53221"/>
    <w:rsid w:val="232C49A8"/>
    <w:rsid w:val="24414822"/>
    <w:rsid w:val="24A501A2"/>
    <w:rsid w:val="26CA0394"/>
    <w:rsid w:val="27932534"/>
    <w:rsid w:val="298F1421"/>
    <w:rsid w:val="2B976856"/>
    <w:rsid w:val="2D3A787B"/>
    <w:rsid w:val="2D806D8E"/>
    <w:rsid w:val="2E4B1DBB"/>
    <w:rsid w:val="315C608D"/>
    <w:rsid w:val="32244DFC"/>
    <w:rsid w:val="37683B79"/>
    <w:rsid w:val="376976AA"/>
    <w:rsid w:val="386A5DEB"/>
    <w:rsid w:val="3970297C"/>
    <w:rsid w:val="3A712BA9"/>
    <w:rsid w:val="3B1E43B3"/>
    <w:rsid w:val="3B3F2CA7"/>
    <w:rsid w:val="3FAE21A9"/>
    <w:rsid w:val="3FFD4EDF"/>
    <w:rsid w:val="403D52DB"/>
    <w:rsid w:val="414C1C7A"/>
    <w:rsid w:val="45F30752"/>
    <w:rsid w:val="46736B92"/>
    <w:rsid w:val="46CD560B"/>
    <w:rsid w:val="4ACA581B"/>
    <w:rsid w:val="4B692A55"/>
    <w:rsid w:val="4BDC009E"/>
    <w:rsid w:val="4D897DB2"/>
    <w:rsid w:val="4DA9580A"/>
    <w:rsid w:val="4FC010B0"/>
    <w:rsid w:val="51225138"/>
    <w:rsid w:val="53A557D2"/>
    <w:rsid w:val="54866DF9"/>
    <w:rsid w:val="5684380C"/>
    <w:rsid w:val="5BDA2F4F"/>
    <w:rsid w:val="5BDA3159"/>
    <w:rsid w:val="5EA600B9"/>
    <w:rsid w:val="645667E8"/>
    <w:rsid w:val="646709F5"/>
    <w:rsid w:val="65FF4C5D"/>
    <w:rsid w:val="67346421"/>
    <w:rsid w:val="67446059"/>
    <w:rsid w:val="674532F5"/>
    <w:rsid w:val="67F820A0"/>
    <w:rsid w:val="69F745C9"/>
    <w:rsid w:val="78E977D3"/>
    <w:rsid w:val="79960FDD"/>
    <w:rsid w:val="7A8102AF"/>
    <w:rsid w:val="7FC42E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rPr>
      <w:rFonts w:ascii="Arial" w:hAnsi="Arial" w:cs="Arial" w:eastAsiaTheme="minorEastAsia"/>
      <w:lang w:val="en-US" w:eastAsia="zh-CN" w:bidi="ar-SA"/>
    </w:rPr>
  </w:style>
  <w:style w:type="paragraph" w:styleId="4">
    <w:name w:val="heading 2"/>
    <w:basedOn w:val="1"/>
    <w:next w:val="1"/>
    <w:link w:val="1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99"/>
    <w:pPr>
      <w:spacing w:before="0" w:beforeLines="0" w:after="120" w:afterLines="0" w:line="240" w:lineRule="auto"/>
      <w:ind w:left="420" w:leftChars="200" w:firstLine="420"/>
    </w:pPr>
    <w:rPr>
      <w:rFonts w:ascii="Times New Roman" w:hAnsi="Times New Roman" w:eastAsia="仿宋_GB2312"/>
    </w:rPr>
  </w:style>
  <w:style w:type="paragraph" w:styleId="3">
    <w:name w:val="Body Text Indent"/>
    <w:basedOn w:val="1"/>
    <w:qFormat/>
    <w:uiPriority w:val="99"/>
    <w:pPr>
      <w:spacing w:before="156" w:beforeLines="50" w:after="156" w:afterLines="50" w:line="300" w:lineRule="auto"/>
      <w:ind w:left="1050" w:leftChars="500"/>
    </w:pPr>
    <w:rPr>
      <w:rFonts w:ascii="楷体_GB2312" w:hAnsi="宋体" w:eastAsia="楷体_GB2312"/>
    </w:rPr>
  </w:style>
  <w:style w:type="paragraph" w:styleId="5">
    <w:name w:val="footer"/>
    <w:basedOn w:val="1"/>
    <w:link w:val="15"/>
    <w:unhideWhenUsed/>
    <w:qFormat/>
    <w:uiPriority w:val="99"/>
    <w:pPr>
      <w:tabs>
        <w:tab w:val="center" w:pos="4153"/>
        <w:tab w:val="right" w:pos="8306"/>
      </w:tabs>
      <w:snapToGrid w:val="0"/>
    </w:pPr>
    <w:rPr>
      <w:sz w:val="18"/>
      <w:szCs w:val="18"/>
    </w:rPr>
  </w:style>
  <w:style w:type="paragraph" w:styleId="6">
    <w:name w:val="header"/>
    <w:basedOn w:val="1"/>
    <w:link w:val="14"/>
    <w:unhideWhenUsed/>
    <w:qFormat/>
    <w:uiPriority w:val="99"/>
    <w:pPr>
      <w:tabs>
        <w:tab w:val="center" w:pos="4153"/>
        <w:tab w:val="right" w:pos="8306"/>
      </w:tabs>
      <w:snapToGrid w:val="0"/>
      <w:jc w:val="center"/>
    </w:pPr>
    <w:rPr>
      <w:sz w:val="18"/>
      <w:szCs w:val="18"/>
    </w:rPr>
  </w:style>
  <w:style w:type="paragraph" w:styleId="7">
    <w:name w:val="Title"/>
    <w:basedOn w:val="1"/>
    <w:next w:val="1"/>
    <w:link w:val="12"/>
    <w:qFormat/>
    <w:uiPriority w:val="10"/>
    <w:pPr>
      <w:spacing w:before="240" w:after="60"/>
      <w:jc w:val="center"/>
      <w:outlineLvl w:val="0"/>
    </w:pPr>
    <w:rPr>
      <w:rFonts w:asciiTheme="majorHAnsi" w:hAnsiTheme="majorHAnsi" w:eastAsiaTheme="majorEastAsia" w:cstheme="majorBidi"/>
      <w:b/>
      <w:bCs/>
      <w:sz w:val="32"/>
      <w:szCs w:val="32"/>
    </w:rPr>
  </w:style>
  <w:style w:type="character" w:styleId="10">
    <w:name w:val="footnote reference"/>
    <w:semiHidden/>
    <w:unhideWhenUsed/>
    <w:qFormat/>
    <w:uiPriority w:val="0"/>
    <w:rPr>
      <w:vertAlign w:val="superscript"/>
    </w:rPr>
  </w:style>
  <w:style w:type="character" w:customStyle="1" w:styleId="11">
    <w:name w:val="标题 2 字符"/>
    <w:basedOn w:val="9"/>
    <w:link w:val="4"/>
    <w:qFormat/>
    <w:uiPriority w:val="9"/>
    <w:rPr>
      <w:rFonts w:asciiTheme="majorHAnsi" w:hAnsiTheme="majorHAnsi" w:eastAsiaTheme="majorEastAsia" w:cstheme="majorBidi"/>
      <w:b/>
      <w:bCs/>
      <w:sz w:val="32"/>
      <w:szCs w:val="32"/>
    </w:rPr>
  </w:style>
  <w:style w:type="character" w:customStyle="1" w:styleId="12">
    <w:name w:val="标题 字符"/>
    <w:basedOn w:val="9"/>
    <w:link w:val="7"/>
    <w:qFormat/>
    <w:uiPriority w:val="10"/>
    <w:rPr>
      <w:rFonts w:asciiTheme="majorHAnsi" w:hAnsiTheme="majorHAnsi" w:eastAsiaTheme="majorEastAsia" w:cstheme="majorBidi"/>
      <w:b/>
      <w:bCs/>
      <w:sz w:val="32"/>
      <w:szCs w:val="32"/>
    </w:rPr>
  </w:style>
  <w:style w:type="paragraph" w:styleId="13">
    <w:name w:val="List Paragraph"/>
    <w:basedOn w:val="1"/>
    <w:qFormat/>
    <w:uiPriority w:val="34"/>
    <w:pPr>
      <w:ind w:firstLine="420" w:firstLineChars="200"/>
    </w:pPr>
  </w:style>
  <w:style w:type="character" w:customStyle="1" w:styleId="14">
    <w:name w:val="页眉 字符"/>
    <w:basedOn w:val="9"/>
    <w:link w:val="6"/>
    <w:qFormat/>
    <w:uiPriority w:val="99"/>
    <w:rPr>
      <w:sz w:val="18"/>
      <w:szCs w:val="18"/>
    </w:rPr>
  </w:style>
  <w:style w:type="character" w:customStyle="1" w:styleId="15">
    <w:name w:val="页脚 字符"/>
    <w:basedOn w:val="9"/>
    <w:link w:val="5"/>
    <w:qFormat/>
    <w:uiPriority w:val="99"/>
    <w:rPr>
      <w:sz w:val="18"/>
      <w:szCs w:val="18"/>
    </w:rPr>
  </w:style>
  <w:style w:type="paragraph" w:customStyle="1" w:styleId="16">
    <w:name w:val="jx-正文"/>
    <w:basedOn w:val="1"/>
    <w:autoRedefine/>
    <w:qFormat/>
    <w:uiPriority w:val="0"/>
    <w:pPr>
      <w:widowControl/>
      <w:ind w:firstLine="600"/>
    </w:pPr>
    <w:rPr>
      <w:color w:val="000000"/>
      <w:kern w:val="2"/>
      <w:szCs w:val="3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1352</Words>
  <Characters>1396</Characters>
  <Lines>9</Lines>
  <Paragraphs>2</Paragraphs>
  <TotalTime>2</TotalTime>
  <ScaleCrop>false</ScaleCrop>
  <LinksUpToDate>false</LinksUpToDate>
  <CharactersWithSpaces>1396</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2024-01-23T03:02:00Z</dcterms:created>
  <dc:creator>LYP</dc:creator>
  <cp:lastModifiedBy>pilgrm</cp:lastModifiedBy>
  <dcterms:modified xsi:type="dcterms:W3CDTF">2024-08-27T12:11:30Z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02DA77325E00443694EE9400E0BF286F_13</vt:lpwstr>
  </property>
</Properties>
</file>