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r>
        <w:rPr>
          <w:rFonts w:ascii="方正仿宋简体" w:eastAsia="方正仿宋简体"/>
          <w:sz w:val="24"/>
          <w:szCs w:val="24"/>
          <w:lang w:val="en-US" w:eastAsia="zh-CN"/>
        </w:rPr>
        <w:t>和平县和平中学基础设施建设项目</w:t>
      </w:r>
      <w:bookmarkEnd w:id="2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2401-441624-05-01-352559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bookmarkEnd w:id="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bookmarkEnd w:id="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bookmarkEnd w:id="1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3"/>
            <w:bookmarkEnd w:id="2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4"/>
            <w:bookmarkEnd w:id="2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2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bookmarkEnd w:id="3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bookmarkEnd w:id="3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bookmarkEnd w:id="4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bookmarkEnd w:id="5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bookmarkEnd w:id="5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bookmarkEnd w:id="5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2、请按照规定在广东省招投标监管网（www.gdzbtb.gov.cn)或广东省政府采购网（www.gdgpo.gov.cn）发布有关招投标信息。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1" w:name="year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2024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2" w:name="month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1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3" w:name="day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12</w:t>
            </w:r>
            <w:bookmarkEnd w:id="6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>
      <w:bookmarkStart w:id="64" w:name="_GoBack"/>
      <w:bookmarkEnd w:id="6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8236D"/>
    <w:rsid w:val="161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b1932c46-3f1b-4df7-b2ca-7026c723a770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2024-04-02T03:38:00Z</dcterms:created>
  <dc:creator>Administrator</dc:creator>
  <cp:lastModifiedBy>Administrator</cp:lastModifiedBy>
  <dcterms:modified xsi:type="dcterms:W3CDTF">2024-04-02T03:39:04Z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B78532C230FE456680BA9215E38042F2</vt:lpwstr>
  </property>
</Properties>
</file>