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jc w:val="both"/>
        <w:rPr>
          <w:rFonts w:hint="default" w:ascii="Times New Roman" w:hAnsi="Times New Roman" w:cs="Times New Roman"/>
        </w:rPr>
      </w:pPr>
      <w:r>
        <w:rPr>
          <w:rFonts w:hint="default" w:ascii="Times New Roman" w:hAnsi="Times New Roman" w:eastAsia="仿宋_GB2312" w:cs="Times New Roman"/>
          <w:b w:val="0"/>
          <w:bCs w:val="0"/>
          <w:sz w:val="32"/>
          <w:szCs w:val="32"/>
          <w:lang w:val="en-US" w:eastAsia="zh-CN"/>
        </w:rPr>
        <w:t>附件1</w:t>
      </w:r>
    </w:p>
    <w:p>
      <w:pPr>
        <w:keepNext w:val="0"/>
        <w:keepLines w:val="0"/>
        <w:pageBreakBefore w:val="0"/>
        <w:widowControl w:val="0"/>
        <w:kinsoku/>
        <w:wordWrap/>
        <w:overflowPunct/>
        <w:topLinePunct w:val="0"/>
        <w:autoSpaceDE/>
        <w:autoSpaceDN/>
        <w:bidi w:val="0"/>
        <w:adjustRightInd/>
        <w:snapToGrid/>
        <w:spacing w:line="8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和平县2022年度第十九批次城镇建设用地</w:t>
      </w:r>
    </w:p>
    <w:p>
      <w:pPr>
        <w:keepNext w:val="0"/>
        <w:keepLines w:val="0"/>
        <w:pageBreakBefore w:val="0"/>
        <w:widowControl w:val="0"/>
        <w:kinsoku/>
        <w:wordWrap/>
        <w:overflowPunct/>
        <w:topLinePunct w:val="0"/>
        <w:autoSpaceDE/>
        <w:autoSpaceDN/>
        <w:bidi w:val="0"/>
        <w:adjustRightInd/>
        <w:snapToGrid/>
        <w:spacing w:line="80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征地补偿安置方案</w:t>
      </w:r>
    </w:p>
    <w:p>
      <w:pPr>
        <w:spacing w:line="560" w:lineRule="exact"/>
        <w:ind w:right="-304" w:rightChars="-95"/>
        <w:jc w:val="center"/>
        <w:rPr>
          <w:rFonts w:hint="default" w:ascii="Times New Roman" w:hAnsi="Times New Roman" w:eastAsia="方正小标宋简体" w:cs="Times New Roman"/>
          <w:sz w:val="44"/>
          <w:szCs w:val="44"/>
        </w:rPr>
      </w:pP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为实施和平县202</w:t>
      </w: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年度第</w:t>
      </w:r>
      <w:r>
        <w:rPr>
          <w:rFonts w:hint="default" w:ascii="Times New Roman" w:hAnsi="Times New Roman" w:eastAsia="仿宋_GB2312" w:cs="Times New Roman"/>
          <w:sz w:val="32"/>
          <w:szCs w:val="32"/>
          <w:lang w:eastAsia="zh-CN"/>
        </w:rPr>
        <w:t>十</w:t>
      </w:r>
      <w:r>
        <w:rPr>
          <w:rFonts w:hint="default" w:ascii="Times New Roman" w:hAnsi="Times New Roman" w:eastAsia="仿宋_GB2312" w:cs="Times New Roman"/>
          <w:sz w:val="32"/>
          <w:szCs w:val="32"/>
        </w:rPr>
        <w:t>九批次城镇建设，</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人民政府拟征收</w:t>
      </w:r>
      <w:r>
        <w:rPr>
          <w:rFonts w:hint="default" w:ascii="Times New Roman" w:hAnsi="Times New Roman" w:eastAsia="仿宋_GB2312" w:cs="Times New Roman"/>
          <w:sz w:val="32"/>
          <w:szCs w:val="32"/>
          <w:lang w:val="en-US" w:eastAsia="zh-CN"/>
        </w:rPr>
        <w:t>和平县林寨镇</w:t>
      </w:r>
      <w:r>
        <w:rPr>
          <w:rFonts w:hint="default" w:ascii="Times New Roman" w:hAnsi="Times New Roman" w:eastAsia="仿宋_GB2312" w:cs="Times New Roman"/>
          <w:sz w:val="32"/>
          <w:szCs w:val="32"/>
        </w:rPr>
        <w:t>属下的集体土地1.3822公顷。根据《中华人民共和国土地管理法》第二条、第四十五条、第四十七条，《中华人民共和国土地管理法实施条例》第二十七条、第二十八条，以及《广东省土地管理条例》第三十条</w:t>
      </w:r>
      <w:r>
        <w:rPr>
          <w:rFonts w:hint="default"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规定，结合</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的征收农用地区片综合地价和实际情况，拟定了征地补偿安置方案</w:t>
      </w:r>
      <w:r>
        <w:rPr>
          <w:rFonts w:hint="default" w:ascii="Times New Roman" w:hAnsi="Times New Roman" w:eastAsia="仿宋_GB2312" w:cs="Times New Roman"/>
          <w:sz w:val="32"/>
          <w:szCs w:val="32"/>
          <w:lang w:eastAsia="zh-CN"/>
        </w:rPr>
        <w:t>。</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bCs/>
          <w:sz w:val="32"/>
          <w:szCs w:val="32"/>
        </w:rPr>
        <w:t>一、征收范围</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拟征收土地位于</w:t>
      </w:r>
      <w:r>
        <w:rPr>
          <w:rFonts w:hint="default" w:ascii="Times New Roman" w:hAnsi="Times New Roman" w:eastAsia="仿宋_GB2312" w:cs="Times New Roman"/>
          <w:sz w:val="32"/>
          <w:szCs w:val="32"/>
          <w:lang w:eastAsia="zh-CN"/>
        </w:rPr>
        <w:t>和平县林寨镇明星村山下经济合作社、明星村明上经济合作社</w:t>
      </w:r>
      <w:r>
        <w:rPr>
          <w:rFonts w:hint="default" w:ascii="Times New Roman" w:hAnsi="Times New Roman" w:eastAsia="仿宋_GB2312" w:cs="Times New Roman"/>
          <w:sz w:val="32"/>
          <w:szCs w:val="32"/>
          <w:lang w:val="en-US" w:eastAsia="zh-CN"/>
        </w:rPr>
        <w:t>和石江村经济联合社</w:t>
      </w:r>
      <w:r>
        <w:rPr>
          <w:rFonts w:hint="default" w:ascii="Times New Roman" w:hAnsi="Times New Roman" w:eastAsia="仿宋_GB2312" w:cs="Times New Roman"/>
          <w:bCs/>
          <w:sz w:val="32"/>
          <w:szCs w:val="32"/>
        </w:rPr>
        <w:t>范围内。</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实际征收土地范围以最终批准文件为准。</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二、征收目的</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根据《中华人民共和国土地管理法》第四十五条的规定，本次征收土地目的为由政府组织实施的科</w:t>
      </w:r>
      <w:bookmarkStart w:id="0" w:name="_GoBack"/>
      <w:bookmarkEnd w:id="0"/>
      <w:r>
        <w:rPr>
          <w:rFonts w:hint="default" w:ascii="Times New Roman" w:hAnsi="Times New Roman" w:eastAsia="仿宋_GB2312" w:cs="Times New Roman"/>
          <w:color w:val="auto"/>
          <w:sz w:val="32"/>
          <w:szCs w:val="32"/>
          <w:highlight w:val="none"/>
        </w:rPr>
        <w:t>技、教育、文化、卫生、体育、生态环境和资源保护、防灾减灾、文物保护、社区综合服务、社会福利、市政公用、优抚安置、英烈保护等公共事业需要用地</w:t>
      </w:r>
      <w:r>
        <w:rPr>
          <w:rFonts w:hint="default" w:ascii="Times New Roman" w:hAnsi="Times New Roman" w:eastAsia="仿宋_GB2312" w:cs="Times New Roman"/>
          <w:color w:val="auto"/>
          <w:sz w:val="32"/>
          <w:szCs w:val="32"/>
          <w:highlight w:val="none"/>
          <w:lang w:eastAsia="zh-CN"/>
        </w:rPr>
        <w:t>的。</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三、土地现状</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Cs/>
          <w:sz w:val="32"/>
          <w:szCs w:val="32"/>
        </w:rPr>
        <w:t>根据拟征收土地现状调查结果，拟征收土地现状为：</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5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林寨镇明星村山下经济合作社</w:t>
      </w:r>
      <w:r>
        <w:rPr>
          <w:rFonts w:hint="default" w:ascii="Times New Roman" w:hAnsi="Times New Roman" w:eastAsia="仿宋_GB2312" w:cs="Times New Roman"/>
          <w:sz w:val="32"/>
          <w:szCs w:val="32"/>
          <w:lang w:val="en-US" w:eastAsia="zh-CN"/>
        </w:rPr>
        <w:t>农民</w:t>
      </w:r>
      <w:r>
        <w:rPr>
          <w:rFonts w:hint="default" w:ascii="Times New Roman" w:hAnsi="Times New Roman" w:eastAsia="仿宋_GB2312" w:cs="Times New Roman"/>
          <w:sz w:val="32"/>
          <w:szCs w:val="32"/>
        </w:rPr>
        <w:t>集体所有土地0.0543公顷（0.8145亩）。其中，农用地0.0543公顷（0.8145亩），含耕地0.0543公顷（0.8145亩）；建设用地</w:t>
      </w:r>
      <w:r>
        <w:rPr>
          <w:rStyle w:val="7"/>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7"/>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Style w:val="7"/>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7"/>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5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林寨镇明星村明上经济合作社</w:t>
      </w:r>
      <w:r>
        <w:rPr>
          <w:rFonts w:hint="default" w:ascii="Times New Roman" w:hAnsi="Times New Roman" w:eastAsia="仿宋_GB2312" w:cs="Times New Roman"/>
          <w:sz w:val="32"/>
          <w:szCs w:val="32"/>
          <w:lang w:val="en-US" w:eastAsia="zh-CN"/>
        </w:rPr>
        <w:t>农民</w:t>
      </w:r>
      <w:r>
        <w:rPr>
          <w:rFonts w:hint="default" w:ascii="Times New Roman" w:hAnsi="Times New Roman" w:eastAsia="仿宋_GB2312" w:cs="Times New Roman"/>
          <w:sz w:val="32"/>
          <w:szCs w:val="32"/>
        </w:rPr>
        <w:t>集体所有土地0.0032公顷（0.048亩）。其中，农用地0.0032公顷（0.048亩），含耕地0.0032公顷（0.048亩）；建设用地</w:t>
      </w:r>
      <w:r>
        <w:rPr>
          <w:rStyle w:val="7"/>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7"/>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亩）；未利用地</w:t>
      </w:r>
      <w:r>
        <w:rPr>
          <w:rStyle w:val="7"/>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公顷（</w:t>
      </w:r>
      <w:r>
        <w:rPr>
          <w:rStyle w:val="7"/>
          <w:rFonts w:hint="default" w:ascii="Times New Roman" w:hAnsi="Times New Roman" w:eastAsia="楷体" w:cs="Times New Roman"/>
          <w:b w:val="0"/>
          <w:bCs/>
          <w:sz w:val="32"/>
          <w:szCs w:val="32"/>
          <w:lang w:val="en-US" w:eastAsia="zh-CN"/>
        </w:rPr>
        <w:t>0</w:t>
      </w:r>
      <w:r>
        <w:rPr>
          <w:rFonts w:hint="default" w:ascii="Times New Roman" w:hAnsi="Times New Roman" w:eastAsia="仿宋_GB2312" w:cs="Times New Roman"/>
          <w:sz w:val="32"/>
          <w:szCs w:val="32"/>
        </w:rPr>
        <w:t>亩）；</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拟征收</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林寨镇石江村经济联合社</w:t>
      </w:r>
      <w:r>
        <w:rPr>
          <w:rFonts w:hint="default" w:ascii="Times New Roman" w:hAnsi="Times New Roman" w:eastAsia="仿宋_GB2312" w:cs="Times New Roman"/>
          <w:sz w:val="32"/>
          <w:szCs w:val="32"/>
          <w:lang w:val="en-US" w:eastAsia="zh-CN"/>
        </w:rPr>
        <w:t>农民</w:t>
      </w:r>
      <w:r>
        <w:rPr>
          <w:rFonts w:hint="default" w:ascii="Times New Roman" w:hAnsi="Times New Roman" w:eastAsia="仿宋_GB2312" w:cs="Times New Roman"/>
          <w:sz w:val="32"/>
          <w:szCs w:val="32"/>
        </w:rPr>
        <w:t>集体所有土地1.3247公顷（19.8705亩）。其中，农用地1.3162公顷（19.743亩），含耕地</w:t>
      </w:r>
      <w:r>
        <w:rPr>
          <w:rFonts w:hint="default" w:ascii="Times New Roman" w:hAnsi="Times New Roman" w:eastAsia="仿宋_GB2312" w:cs="Times New Roman"/>
          <w:sz w:val="32"/>
          <w:szCs w:val="32"/>
          <w:lang w:val="en-US" w:eastAsia="zh-CN"/>
        </w:rPr>
        <w:t>0.0016</w:t>
      </w:r>
      <w:r>
        <w:rPr>
          <w:rFonts w:hint="default" w:ascii="Times New Roman" w:hAnsi="Times New Roman" w:eastAsia="仿宋_GB2312" w:cs="Times New Roman"/>
          <w:sz w:val="32"/>
          <w:szCs w:val="32"/>
        </w:rPr>
        <w:t>公顷（0.024亩）；建设用地</w:t>
      </w:r>
      <w:r>
        <w:rPr>
          <w:rFonts w:hint="default" w:ascii="Times New Roman" w:hAnsi="Times New Roman" w:eastAsia="仿宋_GB2312" w:cs="Times New Roman"/>
          <w:sz w:val="32"/>
          <w:szCs w:val="32"/>
          <w:lang w:val="en-US" w:eastAsia="zh-CN"/>
        </w:rPr>
        <w:t>0.0085</w:t>
      </w:r>
      <w:r>
        <w:rPr>
          <w:rFonts w:hint="default" w:ascii="Times New Roman" w:hAnsi="Times New Roman" w:eastAsia="仿宋_GB2312" w:cs="Times New Roman"/>
          <w:sz w:val="32"/>
          <w:szCs w:val="32"/>
        </w:rPr>
        <w:t>公顷（0.1275亩）</w:t>
      </w:r>
      <w:r>
        <w:rPr>
          <w:rFonts w:hint="default" w:ascii="Times New Roman" w:hAnsi="Times New Roman" w:eastAsia="仿宋_GB2312" w:cs="Times New Roman"/>
          <w:sz w:val="32"/>
          <w:szCs w:val="32"/>
          <w:lang w:eastAsia="zh-CN"/>
        </w:rPr>
        <w:t>。</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黑体" w:cs="Times New Roman"/>
          <w:sz w:val="32"/>
          <w:szCs w:val="32"/>
        </w:rPr>
        <w:t>四、补偿方式和标准</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5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（一）土地补偿费和安置补助费标准</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5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根据</w:t>
      </w:r>
      <w:r>
        <w:rPr>
          <w:rFonts w:hint="default" w:ascii="Times New Roman" w:hAnsi="Times New Roman" w:eastAsia="仿宋_GB2312" w:cs="Times New Roman"/>
          <w:sz w:val="32"/>
          <w:szCs w:val="32"/>
        </w:rPr>
        <w:t>《</w:t>
      </w:r>
      <w:r>
        <w:rPr>
          <w:rFonts w:hint="default" w:ascii="Times New Roman" w:hAnsi="Times New Roman" w:eastAsia="仿宋_GB2312" w:cs="Times New Roman"/>
          <w:color w:val="auto"/>
          <w:sz w:val="32"/>
          <w:szCs w:val="32"/>
          <w:lang w:val="en-US" w:eastAsia="zh-CN"/>
        </w:rPr>
        <w:t>河源市人民政府关于公布实施征收农用地区片综合地价的公告</w:t>
      </w:r>
      <w:r>
        <w:rPr>
          <w:rFonts w:hint="default" w:ascii="Times New Roman" w:hAnsi="Times New Roman" w:eastAsia="仿宋_GB2312" w:cs="Times New Roman"/>
          <w:sz w:val="32"/>
          <w:szCs w:val="32"/>
        </w:rPr>
        <w:t>》（</w:t>
      </w:r>
      <w:r>
        <w:rPr>
          <w:rFonts w:hint="default" w:ascii="Times New Roman" w:hAnsi="Times New Roman" w:eastAsia="仿宋_GB2312" w:cs="Times New Roman"/>
          <w:color w:val="auto"/>
          <w:sz w:val="32"/>
          <w:szCs w:val="32"/>
          <w:lang w:val="en-US" w:eastAsia="zh-CN"/>
        </w:rPr>
        <w:t>河府〔2021〕15号</w:t>
      </w:r>
      <w:r>
        <w:rPr>
          <w:rFonts w:hint="default" w:ascii="Times New Roman" w:hAnsi="Times New Roman" w:eastAsia="仿宋_GB2312" w:cs="Times New Roman"/>
          <w:sz w:val="32"/>
          <w:szCs w:val="32"/>
        </w:rPr>
        <w:t>）的规定</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林寨镇</w:t>
      </w:r>
      <w:r>
        <w:rPr>
          <w:rFonts w:hint="default" w:ascii="Times New Roman" w:hAnsi="Times New Roman" w:eastAsia="仿宋_GB2312" w:cs="Times New Roman"/>
          <w:sz w:val="32"/>
          <w:szCs w:val="32"/>
          <w:lang w:eastAsia="zh-CN"/>
        </w:rPr>
        <w:t>土地补偿费标准为28.875万元</w:t>
      </w:r>
      <w:r>
        <w:rPr>
          <w:rFonts w:hint="default" w:ascii="Times New Roman" w:hAnsi="Times New Roman" w:eastAsia="仿宋_GB2312" w:cs="Times New Roman"/>
          <w:sz w:val="32"/>
          <w:szCs w:val="32"/>
          <w:lang w:val="en-US" w:eastAsia="zh-CN"/>
        </w:rPr>
        <w:t>/公顷，安置补助费标准为</w:t>
      </w:r>
      <w:r>
        <w:rPr>
          <w:rFonts w:hint="default" w:ascii="Times New Roman" w:hAnsi="Times New Roman" w:eastAsia="仿宋_GB2312" w:cs="Times New Roman"/>
          <w:sz w:val="32"/>
          <w:szCs w:val="32"/>
          <w:lang w:eastAsia="zh-CN"/>
        </w:rPr>
        <w:t>28.875万元</w:t>
      </w:r>
      <w:r>
        <w:rPr>
          <w:rFonts w:hint="default" w:ascii="Times New Roman" w:hAnsi="Times New Roman" w:eastAsia="仿宋_GB2312" w:cs="Times New Roman"/>
          <w:sz w:val="32"/>
          <w:szCs w:val="32"/>
          <w:lang w:val="en-US" w:eastAsia="zh-CN"/>
        </w:rPr>
        <w:t>/公顷（林地和未利用地参照征收农用地区片综合地价设定调节系数0.4执行）</w:t>
      </w:r>
      <w:r>
        <w:rPr>
          <w:rFonts w:hint="default" w:ascii="Times New Roman" w:hAnsi="Times New Roman" w:eastAsia="仿宋_GB2312" w:cs="Times New Roman"/>
          <w:sz w:val="32"/>
          <w:szCs w:val="32"/>
        </w:rPr>
        <w:t>。</w:t>
      </w:r>
    </w:p>
    <w:p>
      <w:pPr>
        <w:keepNext w:val="0"/>
        <w:keepLines w:val="0"/>
        <w:pageBreakBefore w:val="0"/>
        <w:widowControl w:val="0"/>
        <w:numPr>
          <w:ilvl w:val="0"/>
          <w:numId w:val="1"/>
        </w:numPr>
        <w:kinsoku/>
        <w:wordWrap/>
        <w:overflowPunct/>
        <w:topLinePunct w:val="0"/>
        <w:autoSpaceDE/>
        <w:autoSpaceDN/>
        <w:bidi w:val="0"/>
        <w:adjustRightInd/>
        <w:snapToGrid/>
        <w:spacing w:before="0" w:beforeAutospacing="0" w:after="0" w:afterAutospacing="0" w:line="550" w:lineRule="exact"/>
        <w:ind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highlight w:val="none"/>
        </w:rPr>
        <w:t>农村村民住宅</w:t>
      </w:r>
      <w:r>
        <w:rPr>
          <w:rFonts w:hint="default" w:ascii="Times New Roman" w:hAnsi="Times New Roman" w:eastAsia="仿宋_GB2312" w:cs="Times New Roman"/>
          <w:sz w:val="32"/>
          <w:szCs w:val="32"/>
          <w:highlight w:val="none"/>
          <w:lang w:eastAsia="zh-CN"/>
        </w:rPr>
        <w:t>补偿</w:t>
      </w:r>
    </w:p>
    <w:p>
      <w:pPr>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50" w:lineRule="exact"/>
        <w:ind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lang w:val="en-US" w:eastAsia="zh-CN"/>
        </w:rPr>
        <w:t>本项目不涉及农村村民住宅补偿</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50" w:lineRule="exact"/>
        <w:ind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highlight w:val="none"/>
          <w:lang w:eastAsia="zh-CN"/>
        </w:rPr>
        <w:t>（三）</w:t>
      </w:r>
      <w:r>
        <w:rPr>
          <w:rFonts w:hint="default" w:ascii="Times New Roman" w:hAnsi="Times New Roman" w:eastAsia="仿宋_GB2312" w:cs="Times New Roman"/>
          <w:sz w:val="32"/>
          <w:szCs w:val="32"/>
          <w:highlight w:val="none"/>
        </w:rPr>
        <w:t>青苗</w:t>
      </w:r>
      <w:r>
        <w:rPr>
          <w:rFonts w:hint="default" w:ascii="Times New Roman" w:hAnsi="Times New Roman" w:eastAsia="仿宋_GB2312" w:cs="Times New Roman"/>
          <w:sz w:val="32"/>
          <w:szCs w:val="32"/>
          <w:highlight w:val="none"/>
          <w:lang w:eastAsia="zh-CN"/>
        </w:rPr>
        <w:t>及</w:t>
      </w:r>
      <w:r>
        <w:rPr>
          <w:rFonts w:hint="default" w:ascii="Times New Roman" w:hAnsi="Times New Roman" w:eastAsia="仿宋_GB2312" w:cs="Times New Roman"/>
          <w:sz w:val="32"/>
          <w:szCs w:val="32"/>
          <w:highlight w:val="none"/>
        </w:rPr>
        <w:t>其他地上附着物</w:t>
      </w:r>
      <w:r>
        <w:rPr>
          <w:rFonts w:hint="default" w:ascii="Times New Roman" w:hAnsi="Times New Roman" w:eastAsia="仿宋_GB2312" w:cs="Times New Roman"/>
          <w:sz w:val="32"/>
          <w:szCs w:val="32"/>
          <w:highlight w:val="none"/>
          <w:lang w:eastAsia="zh-CN"/>
        </w:rPr>
        <w:t>补偿</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color w:val="auto"/>
          <w:sz w:val="32"/>
          <w:szCs w:val="32"/>
          <w:highlight w:val="none"/>
        </w:rPr>
        <w:sectPr>
          <w:footerReference r:id="rId3" w:type="default"/>
          <w:pgSz w:w="11906" w:h="16838"/>
          <w:pgMar w:top="1440" w:right="1800" w:bottom="1440" w:left="1800" w:header="851" w:footer="992" w:gutter="0"/>
          <w:pgNumType w:fmt="numberInDash" w:start="1"/>
          <w:cols w:space="425" w:num="1"/>
          <w:docGrid w:type="lines" w:linePitch="312" w:charSpace="0"/>
        </w:sectPr>
      </w:pPr>
      <w:r>
        <w:rPr>
          <w:rFonts w:hint="default" w:ascii="Times New Roman" w:hAnsi="Times New Roman" w:eastAsia="仿宋_GB2312" w:cs="Times New Roman"/>
          <w:sz w:val="32"/>
          <w:szCs w:val="32"/>
          <w:lang w:eastAsia="zh-CN"/>
        </w:rPr>
        <w:t>青苗补偿</w:t>
      </w:r>
      <w:r>
        <w:rPr>
          <w:rFonts w:hint="default" w:ascii="Times New Roman" w:hAnsi="Times New Roman" w:eastAsia="仿宋_GB2312" w:cs="Times New Roman"/>
          <w:sz w:val="32"/>
          <w:szCs w:val="32"/>
          <w:lang w:val="en-US" w:eastAsia="zh-CN"/>
        </w:rPr>
        <w:t>和</w:t>
      </w:r>
      <w:r>
        <w:rPr>
          <w:rFonts w:hint="default" w:ascii="Times New Roman" w:hAnsi="Times New Roman" w:eastAsia="仿宋_GB2312" w:cs="Times New Roman"/>
          <w:sz w:val="32"/>
          <w:szCs w:val="32"/>
          <w:lang w:eastAsia="zh-CN"/>
        </w:rPr>
        <w:t>其他</w:t>
      </w:r>
      <w:r>
        <w:rPr>
          <w:rFonts w:hint="default" w:ascii="Times New Roman" w:hAnsi="Times New Roman" w:eastAsia="仿宋_GB2312" w:cs="Times New Roman"/>
          <w:sz w:val="32"/>
          <w:szCs w:val="32"/>
        </w:rPr>
        <w:t>地上附着物</w:t>
      </w:r>
      <w:r>
        <w:rPr>
          <w:rFonts w:hint="default" w:ascii="Times New Roman" w:hAnsi="Times New Roman" w:eastAsia="仿宋_GB2312" w:cs="Times New Roman"/>
          <w:sz w:val="32"/>
          <w:szCs w:val="32"/>
          <w:lang w:val="en-US" w:eastAsia="zh-CN"/>
        </w:rPr>
        <w:t>补偿</w:t>
      </w:r>
      <w:r>
        <w:rPr>
          <w:rFonts w:hint="default" w:ascii="Times New Roman" w:hAnsi="Times New Roman" w:eastAsia="仿宋_GB2312" w:cs="Times New Roman"/>
          <w:sz w:val="32"/>
          <w:szCs w:val="32"/>
        </w:rPr>
        <w:t>按《</w:t>
      </w:r>
      <w:r>
        <w:rPr>
          <w:rFonts w:hint="default" w:ascii="Times New Roman" w:hAnsi="Times New Roman" w:eastAsia="仿宋_GB2312" w:cs="Times New Roman"/>
          <w:color w:val="auto"/>
          <w:sz w:val="32"/>
          <w:szCs w:val="32"/>
          <w:highlight w:val="none"/>
        </w:rPr>
        <w:t>和平县人民政府关</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color w:val="auto"/>
          <w:sz w:val="32"/>
          <w:szCs w:val="32"/>
          <w:highlight w:val="none"/>
        </w:rPr>
        <w:t>于赣深高铁（和平段）建设征地补偿安置方案</w:t>
      </w:r>
      <w:r>
        <w:rPr>
          <w:rFonts w:hint="default" w:ascii="Times New Roman" w:hAnsi="Times New Roman" w:eastAsia="仿宋_GB2312" w:cs="Times New Roman"/>
          <w:sz w:val="32"/>
          <w:szCs w:val="32"/>
        </w:rPr>
        <w:t>》的规定执行</w:t>
      </w:r>
      <w:r>
        <w:rPr>
          <w:rFonts w:hint="default" w:ascii="Times New Roman" w:hAnsi="Times New Roman" w:eastAsia="仿宋_GB2312" w:cs="Times New Roman"/>
          <w:sz w:val="32"/>
          <w:szCs w:val="32"/>
          <w:lang w:eastAsia="zh-CN"/>
        </w:rPr>
        <w:t>。</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黑体" w:cs="Times New Roman"/>
          <w:sz w:val="32"/>
          <w:szCs w:val="32"/>
        </w:rPr>
        <w:t>五、安置对象</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享有农村集体土地承包权的农户，家庭承包的土地被政府依法统一征收的，其征地安置补偿方案制定时属于农村集体经济组织成员且年满16周岁以上的家庭成员，纳入征地社保费补贴对象范围。农村集体经济组织另有规定的，可从其规定。不满16周岁的安置人员不作为被征地农民参加城乡社会保障</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其本人的安置补助费由</w:t>
      </w:r>
      <w:r>
        <w:rPr>
          <w:rFonts w:hint="default" w:ascii="Times New Roman" w:hAnsi="Times New Roman" w:eastAsia="仿宋_GB2312" w:cs="Times New Roman"/>
          <w:sz w:val="32"/>
          <w:szCs w:val="32"/>
          <w:lang w:eastAsia="zh-CN"/>
        </w:rPr>
        <w:t>县级以上</w:t>
      </w:r>
      <w:r>
        <w:rPr>
          <w:rFonts w:hint="default" w:ascii="Times New Roman" w:hAnsi="Times New Roman" w:eastAsia="仿宋_GB2312" w:cs="Times New Roman"/>
          <w:sz w:val="32"/>
          <w:szCs w:val="32"/>
        </w:rPr>
        <w:t>人民政府按规定足额支付。</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黑体" w:cs="Times New Roman"/>
          <w:sz w:val="32"/>
          <w:szCs w:val="32"/>
        </w:rPr>
        <w:t>六、安置方式和社会保障</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5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（一）货币安置。所需费用已包含在土地补偿安置费中。</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55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（二）留用地安置。根据《广东省人民政府办公厅关于加强征收农村集体土地留用地安置管理工作的意见》（粤府办〔2016〕30号）的规定，按实际征收土地面积的</w:t>
      </w:r>
      <w:r>
        <w:rPr>
          <w:rFonts w:hint="default" w:ascii="Times New Roman" w:hAnsi="Times New Roman" w:eastAsia="仿宋_GB2312" w:cs="Times New Roman"/>
          <w:sz w:val="32"/>
          <w:szCs w:val="32"/>
          <w:lang w:val="en-US" w:eastAsia="zh-CN"/>
        </w:rPr>
        <w:t>10</w:t>
      </w:r>
      <w:r>
        <w:rPr>
          <w:rFonts w:hint="default" w:ascii="Times New Roman" w:hAnsi="Times New Roman" w:eastAsia="仿宋_GB2312" w:cs="Times New Roman"/>
          <w:sz w:val="32"/>
          <w:szCs w:val="32"/>
        </w:rPr>
        <w:t>%安排留用地</w:t>
      </w:r>
      <w:r>
        <w:rPr>
          <w:rFonts w:hint="default" w:ascii="Times New Roman" w:hAnsi="Times New Roman" w:eastAsia="仿宋_GB2312" w:cs="Times New Roman"/>
          <w:sz w:val="32"/>
          <w:szCs w:val="32"/>
          <w:lang w:eastAsia="zh-CN"/>
        </w:rPr>
        <w:t>，留用地兑现方式为</w:t>
      </w:r>
      <w:r>
        <w:rPr>
          <w:rFonts w:hint="default" w:ascii="Times New Roman" w:hAnsi="Times New Roman" w:eastAsia="仿宋_GB2312" w:cs="Times New Roman"/>
          <w:sz w:val="32"/>
          <w:szCs w:val="32"/>
          <w:lang w:val="en-US" w:eastAsia="zh-CN"/>
        </w:rPr>
        <w:t>折算货币补偿，</w:t>
      </w:r>
      <w:r>
        <w:rPr>
          <w:rFonts w:hint="default" w:ascii="Times New Roman" w:hAnsi="Times New Roman" w:eastAsia="仿宋_GB2312" w:cs="Times New Roman"/>
          <w:spacing w:val="15"/>
          <w:kern w:val="0"/>
          <w:sz w:val="32"/>
          <w:szCs w:val="32"/>
        </w:rPr>
        <w:t>补偿标准为150万元/公顷。</w:t>
      </w:r>
    </w:p>
    <w:p>
      <w:pPr>
        <w:keepNext w:val="0"/>
        <w:keepLines w:val="0"/>
        <w:pageBreakBefore w:val="0"/>
        <w:widowControl w:val="0"/>
        <w:numPr>
          <w:ilvl w:val="255"/>
          <w:numId w:val="0"/>
        </w:numPr>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rPr>
      </w:pPr>
      <w:r>
        <w:rPr>
          <w:rFonts w:hint="default" w:ascii="Times New Roman" w:hAnsi="Times New Roman" w:eastAsia="仿宋_GB2312" w:cs="Times New Roman"/>
          <w:sz w:val="32"/>
          <w:szCs w:val="32"/>
        </w:rPr>
        <w:t>（三）社会保障费用。</w:t>
      </w:r>
      <w:r>
        <w:rPr>
          <w:rFonts w:hint="default" w:ascii="Times New Roman" w:hAnsi="Times New Roman" w:eastAsia="仿宋_GB2312" w:cs="Times New Roman"/>
          <w:sz w:val="32"/>
          <w:szCs w:val="32"/>
          <w:lang w:eastAsia="zh-CN"/>
        </w:rPr>
        <w:t>根据《广东省人民政府办公厅转发省人力资源社会保障厅关于进一步完善我省被征地农民养老保障政策意见的通知》（粤府办〔2021〕22号）、</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val="en-US" w:eastAsia="zh-CN"/>
        </w:rPr>
        <w:t>河源市人民政府办公室关于进一步完善我市被征地农民养老保障政策的通知</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val="en-US" w:eastAsia="zh-CN"/>
        </w:rPr>
        <w:t>河</w:t>
      </w:r>
      <w:r>
        <w:rPr>
          <w:rFonts w:hint="default" w:ascii="Times New Roman" w:hAnsi="Times New Roman" w:eastAsia="仿宋_GB2312" w:cs="Times New Roman"/>
          <w:color w:val="auto"/>
          <w:sz w:val="32"/>
          <w:szCs w:val="32"/>
        </w:rPr>
        <w:t>府办〔20</w:t>
      </w:r>
      <w:r>
        <w:rPr>
          <w:rFonts w:hint="default" w:ascii="Times New Roman" w:hAnsi="Times New Roman" w:eastAsia="仿宋_GB2312" w:cs="Times New Roman"/>
          <w:color w:val="auto"/>
          <w:sz w:val="32"/>
          <w:szCs w:val="32"/>
          <w:lang w:val="en-US" w:eastAsia="zh-CN"/>
        </w:rPr>
        <w:t>21</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val="en-US" w:eastAsia="zh-CN"/>
        </w:rPr>
        <w:t>23</w:t>
      </w:r>
      <w:r>
        <w:rPr>
          <w:rFonts w:hint="default" w:ascii="Times New Roman" w:hAnsi="Times New Roman" w:eastAsia="仿宋_GB2312" w:cs="Times New Roman"/>
          <w:color w:val="auto"/>
          <w:sz w:val="32"/>
          <w:szCs w:val="32"/>
        </w:rPr>
        <w:t>号）</w:t>
      </w:r>
      <w:r>
        <w:rPr>
          <w:rFonts w:hint="default" w:ascii="Times New Roman" w:hAnsi="Times New Roman" w:eastAsia="仿宋_GB2312" w:cs="Times New Roman"/>
          <w:color w:val="auto"/>
          <w:sz w:val="32"/>
          <w:szCs w:val="32"/>
          <w:lang w:val="en-US" w:eastAsia="zh-CN"/>
        </w:rPr>
        <w:t>的</w:t>
      </w:r>
      <w:r>
        <w:rPr>
          <w:rFonts w:hint="default" w:ascii="Times New Roman" w:hAnsi="Times New Roman" w:eastAsia="仿宋_GB2312" w:cs="Times New Roman"/>
          <w:sz w:val="32"/>
          <w:szCs w:val="32"/>
          <w:lang w:eastAsia="zh-CN"/>
        </w:rPr>
        <w:t>规定，</w:t>
      </w:r>
      <w:r>
        <w:rPr>
          <w:rFonts w:hint="default" w:ascii="Times New Roman" w:hAnsi="Times New Roman" w:eastAsia="仿宋_GB2312" w:cs="Times New Roman"/>
          <w:sz w:val="32"/>
          <w:szCs w:val="32"/>
        </w:rPr>
        <w:t>核定该项目</w:t>
      </w:r>
      <w:r>
        <w:rPr>
          <w:rFonts w:hint="default" w:ascii="Times New Roman" w:hAnsi="Times New Roman" w:eastAsia="仿宋_GB2312" w:cs="Times New Roman"/>
          <w:sz w:val="32"/>
          <w:szCs w:val="32"/>
          <w:lang w:eastAsia="zh-CN"/>
        </w:rPr>
        <w:t>按</w:t>
      </w:r>
      <w:r>
        <w:rPr>
          <w:rFonts w:hint="default" w:ascii="Times New Roman" w:hAnsi="Times New Roman" w:eastAsia="仿宋_GB2312" w:cs="Times New Roman"/>
          <w:color w:val="auto"/>
          <w:sz w:val="32"/>
          <w:szCs w:val="32"/>
          <w:lang w:val="en-US" w:eastAsia="zh-CN"/>
        </w:rPr>
        <w:t>0.9090万元/亩的</w:t>
      </w:r>
      <w:r>
        <w:rPr>
          <w:rFonts w:hint="default" w:ascii="Times New Roman" w:hAnsi="Times New Roman" w:eastAsia="仿宋_GB2312" w:cs="Times New Roman"/>
          <w:sz w:val="32"/>
          <w:szCs w:val="32"/>
        </w:rPr>
        <w:t>标准一次性计提被征地农民养老保障资金</w:t>
      </w:r>
      <w:r>
        <w:rPr>
          <w:rFonts w:hint="default" w:ascii="Times New Roman" w:hAnsi="Times New Roman" w:eastAsia="仿宋_GB2312" w:cs="Times New Roman"/>
          <w:sz w:val="32"/>
          <w:szCs w:val="32"/>
          <w:lang w:eastAsia="zh-CN"/>
        </w:rPr>
        <w:t>存入“收缴被征地农民养老保障资金过渡户”</w:t>
      </w:r>
      <w:r>
        <w:rPr>
          <w:rFonts w:hint="default" w:ascii="Times New Roman" w:hAnsi="Times New Roman" w:eastAsia="仿宋_GB2312" w:cs="Times New Roman"/>
          <w:sz w:val="32"/>
          <w:szCs w:val="32"/>
        </w:rPr>
        <w:t>，费用合计</w:t>
      </w:r>
      <w:r>
        <w:rPr>
          <w:rFonts w:hint="default" w:ascii="Times New Roman" w:hAnsi="Times New Roman" w:eastAsia="仿宋_GB2312" w:cs="Times New Roman"/>
          <w:sz w:val="32"/>
          <w:szCs w:val="32"/>
          <w:lang w:val="en-US" w:eastAsia="zh-CN"/>
        </w:rPr>
        <w:t>18.8463</w:t>
      </w:r>
      <w:r>
        <w:rPr>
          <w:rFonts w:hint="default" w:ascii="Times New Roman" w:hAnsi="Times New Roman" w:eastAsia="仿宋_GB2312" w:cs="Times New Roman"/>
          <w:sz w:val="32"/>
          <w:szCs w:val="32"/>
        </w:rPr>
        <w:t>万元，专款用于被征地农民缴纳养老保险费用。</w:t>
      </w:r>
    </w:p>
    <w:sectPr>
      <w:footerReference r:id="rId4" w:type="default"/>
      <w:pgSz w:w="11906" w:h="16838"/>
      <w:pgMar w:top="1440" w:right="1800" w:bottom="1440" w:left="1800" w:header="851" w:footer="992" w:gutter="0"/>
      <w:pgNumType w:fmt="numberInDash" w:start="8"/>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80955A"/>
    <w:multiLevelType w:val="singleLevel"/>
    <w:tmpl w:val="1F80955A"/>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317C05"/>
    <w:rsid w:val="2E982D03"/>
    <w:rsid w:val="38FA5570"/>
    <w:rsid w:val="45A90F09"/>
    <w:rsid w:val="5C7E7821"/>
    <w:rsid w:val="6AF22E4B"/>
    <w:rsid w:val="7AC15EA2"/>
    <w:rsid w:val="7C317C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32"/>
      <w:szCs w:val="3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afterLines="0" w:afterAutospacing="0"/>
    </w:p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2023-12-21T02:53:00Z</dcterms:created>
  <dc:creator>Administrator</dc:creator>
  <cp:lastModifiedBy>Administrator</cp:lastModifiedBy>
  <dcterms:modified xsi:type="dcterms:W3CDTF">2023-12-26T02:06:09Z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