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8312"/>
        </w:tabs>
        <w:ind w:left="0" w:leftChars="0" w:firstLine="0" w:firstLineChars="0"/>
        <w:rPr>
          <w:rFonts w:hint="eastAsia" w:eastAsia="宋体"/>
          <w:b/>
          <w:color w:val="000000" w:themeColor="text1"/>
          <w:lang w:eastAsia="zh-CN"/>
          <w14:textFill>
            <w14:solidFill>
              <w14:schemeClr w14:val="tx1"/>
            </w14:solidFill>
          </w14:textFill>
        </w:rPr>
      </w:pPr>
      <w:bookmarkStart w:id="0" w:name="_Toc327455143"/>
      <w:bookmarkStart w:id="1" w:name="_Hlk28194307"/>
      <w:r>
        <w:rPr>
          <w:color w:val="000000" w:themeColor="text1"/>
          <w14:textFill>
            <w14:solidFill>
              <w14:schemeClr w14:val="tx1"/>
            </w14:solidFill>
          </w14:textFill>
        </w:rPr>
        <w:drawing>
          <wp:inline distT="0" distB="0" distL="0" distR="0">
            <wp:extent cx="4181475" cy="876300"/>
            <wp:effectExtent l="0" t="0" r="9525" b="0"/>
            <wp:docPr id="25" name="图片 25" descr="说明: VQS{3$G_EGUR]6)A[QX`(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说明: VQS{3$G_EGUR]6)A[QX`(XJ"/>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81475" cy="876300"/>
                    </a:xfrm>
                    <a:prstGeom prst="rect">
                      <a:avLst/>
                    </a:prstGeom>
                    <a:noFill/>
                    <a:ln>
                      <a:noFill/>
                    </a:ln>
                  </pic:spPr>
                </pic:pic>
              </a:graphicData>
            </a:graphic>
          </wp:inline>
        </w:drawing>
      </w:r>
      <w:r>
        <w:rPr>
          <w:rFonts w:hint="eastAsia"/>
          <w:color w:val="000000" w:themeColor="text1"/>
          <w:lang w:eastAsia="zh-CN"/>
          <w14:textFill>
            <w14:solidFill>
              <w14:schemeClr w14:val="tx1"/>
            </w14:solidFill>
          </w14:textFill>
        </w:rPr>
        <w:tab/>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104775</wp:posOffset>
                </wp:positionH>
                <wp:positionV relativeFrom="paragraph">
                  <wp:posOffset>66675</wp:posOffset>
                </wp:positionV>
                <wp:extent cx="5715000" cy="13970"/>
                <wp:effectExtent l="0" t="19050" r="19050" b="24130"/>
                <wp:wrapNone/>
                <wp:docPr id="2054" name="直接连接符 2054"/>
                <wp:cNvGraphicFramePr/>
                <a:graphic xmlns:a="http://schemas.openxmlformats.org/drawingml/2006/main">
                  <a:graphicData uri="http://schemas.microsoft.com/office/word/2010/wordprocessingShape">
                    <wps:wsp>
                      <wps:cNvCnPr>
                        <a:cxnSpLocks noChangeShapeType="1"/>
                      </wps:cNvCnPr>
                      <wps:spPr bwMode="auto">
                        <a:xfrm flipV="1">
                          <a:off x="0" y="0"/>
                          <a:ext cx="5715000" cy="13970"/>
                        </a:xfrm>
                        <a:prstGeom prst="line">
                          <a:avLst/>
                        </a:prstGeom>
                        <a:noFill/>
                        <a:ln w="57150">
                          <a:solidFill>
                            <a:srgbClr val="FF6600"/>
                          </a:solidFill>
                          <a:round/>
                        </a:ln>
                        <a:effectLst/>
                      </wps:spPr>
                      <wps:bodyPr/>
                    </wps:wsp>
                  </a:graphicData>
                </a:graphic>
              </wp:anchor>
            </w:drawing>
          </mc:Choice>
          <mc:Fallback>
            <w:pict>
              <v:line id="_x0000_s1026" o:spid="_x0000_s1026" o:spt="20" style="position:absolute;left:0pt;flip:y;margin-left:8.25pt;margin-top:5.25pt;height:1.1pt;width:450pt;z-index:251660288;mso-width-relative:page;mso-height-relative:page;" filled="f" stroked="t" coordsize="21600,21600" o:gfxdata="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L0TutIAAAAIAQAADwAAAAAAAAABACAAAAAiAAAAZHJzL2Rvd25yZXYueG1sUEsBAhQA&#10;FAAAAAgAh07iQOXL2V74AQAAzQMAAA4AAAAAAAAAAQAgAAAAIQEAAGRycy9lMm9Eb2MueG1sUEsF&#10;BgAAAAAGAAYAWQEAAIsFAAAAAA==&#10;">
                <v:fill on="f" focussize="0,0"/>
                <v:stroke weight="4.5pt" color="#FF6600" joinstyle="round"/>
                <v:imagedata o:title=""/>
                <o:lock v:ext="edit" aspectratio="f"/>
              </v:line>
            </w:pict>
          </mc:Fallback>
        </mc:AlternateContent>
      </w:r>
    </w:p>
    <w:p>
      <w:pPr>
        <w:ind w:left="0" w:leftChars="0" w:firstLine="0" w:firstLineChars="0"/>
        <w:jc w:val="center"/>
        <w:rPr>
          <w:rFonts w:hint="eastAsia" w:eastAsia="宋体" w:cs="Arial"/>
          <w:b/>
          <w:bCs/>
          <w:color w:val="000000" w:themeColor="text1"/>
          <w:sz w:val="52"/>
          <w:szCs w:val="52"/>
          <w:lang w:val="en-US" w:eastAsia="zh-CN"/>
          <w14:textFill>
            <w14:solidFill>
              <w14:schemeClr w14:val="tx1"/>
            </w14:solidFill>
          </w14:textFill>
        </w:rPr>
      </w:pPr>
      <w:r>
        <w:rPr>
          <w:rFonts w:hint="eastAsia" w:cs="Arial"/>
          <w:b/>
          <w:bCs/>
          <w:color w:val="000000" w:themeColor="text1"/>
          <w:sz w:val="52"/>
          <w:szCs w:val="52"/>
          <w:lang w:val="en-US" w:eastAsia="zh-CN"/>
          <w14:textFill>
            <w14:solidFill>
              <w14:schemeClr w14:val="tx1"/>
            </w14:solidFill>
          </w14:textFill>
        </w:rPr>
        <w:t>和平县电子商务农产品上行体系及乡村振兴产品公共服务系统平台</w:t>
      </w:r>
    </w:p>
    <w:p>
      <w:pPr>
        <w:ind w:left="720" w:leftChars="300" w:firstLine="0" w:firstLineChars="0"/>
        <w:jc w:val="center"/>
        <w:rPr>
          <w:rFonts w:hint="eastAsia" w:ascii="黑体" w:hAnsi="黑体" w:eastAsia="黑体" w:cs="Arial"/>
          <w:color w:val="000000" w:themeColor="text1"/>
          <w:sz w:val="72"/>
          <w:szCs w:val="72"/>
          <w14:textFill>
            <w14:solidFill>
              <w14:schemeClr w14:val="tx1"/>
            </w14:solidFill>
          </w14:textFill>
        </w:rPr>
      </w:pPr>
      <w:r>
        <w:rPr>
          <w:rFonts w:hint="eastAsia" w:ascii="黑体" w:hAnsi="黑体" w:eastAsia="黑体" w:cs="Arial"/>
          <w:color w:val="000000" w:themeColor="text1"/>
          <w:sz w:val="72"/>
          <w:szCs w:val="72"/>
          <w14:textFill>
            <w14:solidFill>
              <w14:schemeClr w14:val="tx1"/>
            </w14:solidFill>
          </w14:textFill>
        </w:rPr>
        <w:t>项</w:t>
      </w:r>
    </w:p>
    <w:p>
      <w:pPr>
        <w:ind w:left="720" w:leftChars="300" w:firstLine="0" w:firstLineChars="0"/>
        <w:jc w:val="center"/>
        <w:rPr>
          <w:rFonts w:hint="eastAsia" w:ascii="黑体" w:hAnsi="黑体" w:eastAsia="黑体" w:cs="Arial"/>
          <w:color w:val="000000" w:themeColor="text1"/>
          <w:sz w:val="72"/>
          <w:szCs w:val="72"/>
          <w14:textFill>
            <w14:solidFill>
              <w14:schemeClr w14:val="tx1"/>
            </w14:solidFill>
          </w14:textFill>
        </w:rPr>
      </w:pPr>
      <w:r>
        <w:rPr>
          <w:rFonts w:hint="eastAsia" w:ascii="黑体" w:hAnsi="黑体" w:eastAsia="黑体" w:cs="Arial"/>
          <w:color w:val="000000" w:themeColor="text1"/>
          <w:sz w:val="72"/>
          <w:szCs w:val="72"/>
          <w14:textFill>
            <w14:solidFill>
              <w14:schemeClr w14:val="tx1"/>
            </w14:solidFill>
          </w14:textFill>
        </w:rPr>
        <w:t>目</w:t>
      </w:r>
    </w:p>
    <w:p>
      <w:pPr>
        <w:ind w:left="720" w:leftChars="300" w:firstLine="0" w:firstLineChars="0"/>
        <w:jc w:val="center"/>
        <w:rPr>
          <w:rFonts w:hint="eastAsia" w:ascii="黑体" w:hAnsi="黑体" w:eastAsia="黑体" w:cs="Arial"/>
          <w:color w:val="000000" w:themeColor="text1"/>
          <w:sz w:val="72"/>
          <w:szCs w:val="72"/>
          <w14:textFill>
            <w14:solidFill>
              <w14:schemeClr w14:val="tx1"/>
            </w14:solidFill>
          </w14:textFill>
        </w:rPr>
      </w:pPr>
      <w:r>
        <w:rPr>
          <w:rFonts w:hint="eastAsia" w:ascii="黑体" w:hAnsi="黑体" w:eastAsia="黑体" w:cs="Arial"/>
          <w:color w:val="000000" w:themeColor="text1"/>
          <w:sz w:val="72"/>
          <w:szCs w:val="72"/>
          <w14:textFill>
            <w14:solidFill>
              <w14:schemeClr w14:val="tx1"/>
            </w14:solidFill>
          </w14:textFill>
        </w:rPr>
        <w:t>方</w:t>
      </w:r>
    </w:p>
    <w:p>
      <w:pPr>
        <w:ind w:left="720" w:leftChars="300" w:firstLine="0" w:firstLineChars="0"/>
        <w:jc w:val="center"/>
        <w:rPr>
          <w:rFonts w:ascii="黑体" w:hAnsi="黑体" w:eastAsia="黑体" w:cs="Arial"/>
          <w:color w:val="000000" w:themeColor="text1"/>
          <w:sz w:val="72"/>
          <w:szCs w:val="72"/>
          <w14:textFill>
            <w14:solidFill>
              <w14:schemeClr w14:val="tx1"/>
            </w14:solidFill>
          </w14:textFill>
        </w:rPr>
      </w:pPr>
      <w:r>
        <w:rPr>
          <w:rFonts w:hint="eastAsia" w:ascii="黑体" w:hAnsi="黑体" w:eastAsia="黑体" w:cs="Arial"/>
          <w:color w:val="000000" w:themeColor="text1"/>
          <w:sz w:val="72"/>
          <w:szCs w:val="72"/>
          <w14:textFill>
            <w14:solidFill>
              <w14:schemeClr w14:val="tx1"/>
            </w14:solidFill>
          </w14:textFill>
        </w:rPr>
        <w:t>案</w:t>
      </w:r>
    </w:p>
    <w:p>
      <w:pPr>
        <w:bidi w:val="0"/>
        <w:jc w:val="center"/>
        <w:rPr>
          <w:b/>
          <w:bCs/>
          <w:sz w:val="48"/>
          <w:szCs w:val="36"/>
        </w:rPr>
      </w:pPr>
    </w:p>
    <w:p>
      <w:pPr>
        <w:bidi w:val="0"/>
        <w:rPr>
          <w:rFonts w:hint="default" w:eastAsia="宋体"/>
          <w:lang w:val="en-US" w:eastAsia="zh-CN"/>
        </w:rPr>
      </w:pPr>
      <w:r>
        <w:rPr>
          <w:rFonts w:hint="eastAsia"/>
          <w:lang w:val="en-US" w:eastAsia="zh-CN"/>
        </w:rPr>
        <w:t xml:space="preserve">                 </w:t>
      </w:r>
    </w:p>
    <w:p>
      <w:pPr>
        <w:ind w:left="0" w:leftChars="0" w:firstLine="0" w:firstLineChars="0"/>
        <w:rPr>
          <w:color w:val="000000" w:themeColor="text1"/>
          <w14:textFill>
            <w14:solidFill>
              <w14:schemeClr w14:val="tx1"/>
            </w14:solidFill>
          </w14:textFill>
        </w:rPr>
      </w:pPr>
    </w:p>
    <w:p>
      <w:pPr>
        <w:ind w:left="-240" w:leftChars="-100" w:firstLine="640"/>
        <w:rPr>
          <w:rFonts w:ascii="黑体" w:hAnsi="黑体" w:eastAsia="黑体" w:cs="Arial"/>
          <w:color w:val="000000" w:themeColor="text1"/>
          <w:sz w:val="32"/>
          <w:szCs w:val="32"/>
          <w14:textFill>
            <w14:solidFill>
              <w14:schemeClr w14:val="tx1"/>
            </w14:solidFill>
          </w14:textFill>
        </w:rPr>
      </w:pPr>
      <w:r>
        <w:rPr>
          <w:rFonts w:hint="eastAsia" w:ascii="黑体" w:hAnsi="黑体" w:eastAsia="黑体" w:cs="Arial"/>
          <w:color w:val="000000" w:themeColor="text1"/>
          <w:sz w:val="32"/>
          <w:szCs w:val="32"/>
          <w14:textFill>
            <w14:solidFill>
              <w14:schemeClr w14:val="tx1"/>
            </w14:solidFill>
          </w14:textFill>
        </w:rPr>
        <w:t>编制单位:广东南方电信规划咨询设计院有限公司</w:t>
      </w:r>
    </w:p>
    <w:p>
      <w:pPr>
        <w:ind w:left="-240" w:leftChars="-100" w:firstLine="640"/>
        <w:rPr>
          <w:rFonts w:hint="eastAsia" w:ascii="黑体" w:hAnsi="黑体" w:eastAsia="黑体" w:cs="Arial"/>
          <w:color w:val="000000" w:themeColor="text1"/>
          <w:sz w:val="32"/>
          <w:szCs w:val="32"/>
          <w14:textFill>
            <w14:solidFill>
              <w14:schemeClr w14:val="tx1"/>
            </w14:solidFill>
          </w14:textFill>
        </w:rPr>
      </w:pPr>
      <w:r>
        <w:rPr>
          <w:rFonts w:hint="eastAsia" w:ascii="黑体" w:hAnsi="黑体" w:eastAsia="黑体" w:cs="Arial"/>
          <w:color w:val="000000" w:themeColor="text1"/>
          <w:sz w:val="32"/>
          <w:szCs w:val="32"/>
          <w14:textFill>
            <w14:solidFill>
              <w14:schemeClr w14:val="tx1"/>
            </w14:solidFill>
          </w14:textFill>
        </w:rPr>
        <w:t>建设单位:和平县工业商务和信息化局</w:t>
      </w:r>
    </w:p>
    <w:p>
      <w:pPr>
        <w:pStyle w:val="2"/>
        <w:rPr>
          <w:color w:val="000000" w:themeColor="text1"/>
          <w14:textFill>
            <w14:solidFill>
              <w14:schemeClr w14:val="tx1"/>
            </w14:solidFill>
          </w14:textFill>
        </w:rPr>
      </w:pPr>
      <w:r>
        <w:rPr>
          <w:rFonts w:hint="eastAsia" w:ascii="黑体" w:hAnsi="黑体" w:eastAsia="黑体" w:cs="Arial"/>
          <w:color w:val="000000" w:themeColor="text1"/>
          <w:sz w:val="32"/>
          <w:szCs w:val="32"/>
          <w:lang w:val="en-US" w:eastAsia="zh-CN"/>
          <w14:textFill>
            <w14:solidFill>
              <w14:schemeClr w14:val="tx1"/>
            </w14:solidFill>
          </w14:textFill>
        </w:rPr>
        <w:t xml:space="preserve">        和平县乡村振兴局</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left="120" w:leftChars="-150" w:hanging="480" w:hangingChars="150"/>
        <w:jc w:val="center"/>
        <w:rPr>
          <w:rFonts w:hint="default" w:eastAsia="宋体" w:cs="Arial"/>
          <w:color w:val="000000" w:themeColor="text1"/>
          <w:sz w:val="32"/>
          <w:szCs w:val="32"/>
          <w:lang w:val="en-US" w:eastAsia="zh-CN"/>
          <w14:textFill>
            <w14:solidFill>
              <w14:schemeClr w14:val="tx1"/>
            </w14:solidFill>
          </w14:textFill>
        </w:rPr>
      </w:pPr>
      <w:r>
        <w:rPr>
          <w:rFonts w:cs="Arial"/>
          <w:color w:val="000000" w:themeColor="text1"/>
          <w:sz w:val="32"/>
          <w:szCs w:val="32"/>
          <w14:textFill>
            <w14:solidFill>
              <w14:schemeClr w14:val="tx1"/>
            </w14:solidFill>
          </w14:textFill>
        </w:rPr>
        <w:t>202</w:t>
      </w:r>
      <w:r>
        <w:rPr>
          <w:rFonts w:hint="eastAsia" w:cs="Arial"/>
          <w:color w:val="000000" w:themeColor="text1"/>
          <w:sz w:val="32"/>
          <w:szCs w:val="32"/>
          <w:lang w:val="en-US" w:eastAsia="zh-CN"/>
          <w14:textFill>
            <w14:solidFill>
              <w14:schemeClr w14:val="tx1"/>
            </w14:solidFill>
          </w14:textFill>
        </w:rPr>
        <w:t>1</w:t>
      </w:r>
      <w:r>
        <w:rPr>
          <w:rFonts w:hint="eastAsia" w:cs="Arial"/>
          <w:color w:val="000000" w:themeColor="text1"/>
          <w:sz w:val="32"/>
          <w:szCs w:val="32"/>
          <w14:textFill>
            <w14:solidFill>
              <w14:schemeClr w14:val="tx1"/>
            </w14:solidFill>
          </w14:textFill>
        </w:rPr>
        <w:t>年</w:t>
      </w:r>
      <w:r>
        <w:rPr>
          <w:rFonts w:hint="eastAsia" w:cs="Arial"/>
          <w:color w:val="000000" w:themeColor="text1"/>
          <w:sz w:val="32"/>
          <w:szCs w:val="32"/>
          <w:lang w:val="en-US" w:eastAsia="zh-CN"/>
          <w14:textFill>
            <w14:solidFill>
              <w14:schemeClr w14:val="tx1"/>
            </w14:solidFill>
          </w14:textFill>
        </w:rPr>
        <w:t>10</w:t>
      </w:r>
      <w:r>
        <w:rPr>
          <w:rFonts w:hint="eastAsia" w:cs="Arial"/>
          <w:color w:val="000000" w:themeColor="text1"/>
          <w:sz w:val="32"/>
          <w:szCs w:val="32"/>
          <w14:textFill>
            <w14:solidFill>
              <w14:schemeClr w14:val="tx1"/>
            </w14:solidFill>
          </w14:textFill>
        </w:rPr>
        <w:t>月</w:t>
      </w:r>
      <w:bookmarkEnd w:id="0"/>
      <w:bookmarkEnd w:id="1"/>
      <w:r>
        <w:rPr>
          <w:rFonts w:hint="eastAsia" w:cs="Arial"/>
          <w:color w:val="000000" w:themeColor="text1"/>
          <w:sz w:val="32"/>
          <w:szCs w:val="32"/>
          <w:lang w:val="en-US" w:eastAsia="zh-CN"/>
          <w14:textFill>
            <w14:solidFill>
              <w14:schemeClr w14:val="tx1"/>
            </w14:solidFill>
          </w14:textFill>
        </w:rPr>
        <w:t>23日</w:t>
      </w:r>
    </w:p>
    <w:p>
      <w:pPr>
        <w:ind w:leftChars="-150" w:hanging="360" w:hangingChars="150"/>
        <w:rPr>
          <w:rFonts w:cs="Times New Roman"/>
          <w:b/>
          <w:szCs w:val="21"/>
        </w:rPr>
      </w:pPr>
      <w:r>
        <w:rPr>
          <w:rFonts w:cs="Times New Roman"/>
          <w:szCs w:val="21"/>
        </w:rPr>
        <w:drawing>
          <wp:inline distT="0" distB="0" distL="0" distR="0">
            <wp:extent cx="4181475" cy="876300"/>
            <wp:effectExtent l="0" t="0" r="9525" b="0"/>
            <wp:docPr id="1894" name="图片 25" descr="说明: VQS{3$G_EGUR]6)A[QX`(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图片 25" descr="说明: VQS{3$G_EGUR]6)A[QX`(XJ"/>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81475" cy="876300"/>
                    </a:xfrm>
                    <a:prstGeom prst="rect">
                      <a:avLst/>
                    </a:prstGeom>
                    <a:noFill/>
                    <a:ln>
                      <a:noFill/>
                    </a:ln>
                  </pic:spPr>
                </pic:pic>
              </a:graphicData>
            </a:graphic>
          </wp:inline>
        </w:drawing>
      </w:r>
    </w:p>
    <w:p>
      <w:pPr>
        <w:tabs>
          <w:tab w:val="left" w:pos="3570"/>
        </w:tabs>
        <w:ind w:firstLine="480"/>
      </w:pPr>
      <w:r>
        <mc:AlternateContent>
          <mc:Choice Requires="wps">
            <w:drawing>
              <wp:anchor distT="0" distB="0" distL="114935" distR="114935" simplePos="0" relativeHeight="251661312" behindDoc="0" locked="0" layoutInCell="1" allowOverlap="1">
                <wp:simplePos x="0" y="0"/>
                <wp:positionH relativeFrom="column">
                  <wp:posOffset>-233045</wp:posOffset>
                </wp:positionH>
                <wp:positionV relativeFrom="paragraph">
                  <wp:posOffset>67310</wp:posOffset>
                </wp:positionV>
                <wp:extent cx="6048375" cy="13970"/>
                <wp:effectExtent l="0" t="10795" r="9525" b="32385"/>
                <wp:wrapNone/>
                <wp:docPr id="1893" name="直接连接符 26"/>
                <wp:cNvGraphicFramePr/>
                <a:graphic xmlns:a="http://schemas.openxmlformats.org/drawingml/2006/main">
                  <a:graphicData uri="http://schemas.microsoft.com/office/word/2010/wordprocessingShape">
                    <wps:wsp>
                      <wps:cNvCnPr>
                        <a:cxnSpLocks noChangeShapeType="1"/>
                      </wps:cNvCnPr>
                      <wps:spPr bwMode="auto">
                        <a:xfrm flipV="1">
                          <a:off x="0" y="0"/>
                          <a:ext cx="6048375" cy="13970"/>
                        </a:xfrm>
                        <a:prstGeom prst="line">
                          <a:avLst/>
                        </a:prstGeom>
                        <a:noFill/>
                        <a:ln w="57150">
                          <a:solidFill>
                            <a:srgbClr val="FF6600"/>
                          </a:solidFill>
                          <a:round/>
                        </a:ln>
                        <a:effectLst/>
                      </wps:spPr>
                      <wps:bodyPr/>
                    </wps:wsp>
                  </a:graphicData>
                </a:graphic>
              </wp:anchor>
            </w:drawing>
          </mc:Choice>
          <mc:Fallback>
            <w:pict>
              <v:line id="直接连接符 26" o:spid="_x0000_s1026" o:spt="20" style="position:absolute;left:0pt;flip:y;margin-left:-18.35pt;margin-top:5.3pt;height:1.1pt;width:476.25pt;z-index:251661312;mso-width-relative:page;mso-height-relative:page;" filled="f" stroked="t" coordsize="21600,21600" o:gfxdata="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wcRQDWAAAACQEAAA8AAAAAAAAAAQAgAAAAIgAAAGRycy9kb3ducmV2Lnht&#10;bFBLAQIUABQAAAAIAIdO4kCgaL8b+wEAAMsDAAAOAAAAAAAAAAEAIAAAACUBAABkcnMvZTJvRG9j&#10;LnhtbFBLBQYAAAAABgAGAFkBAACSBQAAAAA=&#10;">
                <v:fill on="f" focussize="0,0"/>
                <v:stroke weight="4.5pt" color="#FF6600" joinstyle="round"/>
                <v:imagedata o:title=""/>
                <o:lock v:ext="edit" aspectratio="f"/>
              </v:line>
            </w:pict>
          </mc:Fallback>
        </mc:AlternateContent>
      </w:r>
    </w:p>
    <w:p>
      <w:pPr>
        <w:ind w:left="0" w:leftChars="0" w:firstLine="0" w:firstLineChars="0"/>
        <w:jc w:val="center"/>
        <w:rPr>
          <w:rFonts w:hint="eastAsia" w:eastAsia="宋体" w:cs="Arial"/>
          <w:b/>
          <w:bCs/>
          <w:color w:val="000000" w:themeColor="text1"/>
          <w:sz w:val="52"/>
          <w:szCs w:val="52"/>
          <w:lang w:val="en-US" w:eastAsia="zh-CN"/>
          <w14:textFill>
            <w14:solidFill>
              <w14:schemeClr w14:val="tx1"/>
            </w14:solidFill>
          </w14:textFill>
        </w:rPr>
      </w:pPr>
      <w:r>
        <w:rPr>
          <w:rFonts w:hint="eastAsia" w:eastAsia="宋体" w:cs="Arial"/>
          <w:b/>
          <w:bCs/>
          <w:color w:val="000000" w:themeColor="text1"/>
          <w:sz w:val="52"/>
          <w:szCs w:val="52"/>
          <w:lang w:val="en-US" w:eastAsia="zh-CN"/>
          <w14:textFill>
            <w14:solidFill>
              <w14:schemeClr w14:val="tx1"/>
            </w14:solidFill>
          </w14:textFill>
        </w:rPr>
        <w:t>和平县电子商务农产品上行体系及乡村振兴</w:t>
      </w:r>
      <w:r>
        <w:rPr>
          <w:rFonts w:hint="eastAsia" w:cs="Arial"/>
          <w:b/>
          <w:bCs/>
          <w:color w:val="000000" w:themeColor="text1"/>
          <w:sz w:val="52"/>
          <w:szCs w:val="52"/>
          <w:lang w:val="en-US" w:eastAsia="zh-CN"/>
          <w14:textFill>
            <w14:solidFill>
              <w14:schemeClr w14:val="tx1"/>
            </w14:solidFill>
          </w14:textFill>
        </w:rPr>
        <w:t>产品</w:t>
      </w:r>
      <w:r>
        <w:rPr>
          <w:rFonts w:hint="eastAsia" w:eastAsia="宋体" w:cs="Arial"/>
          <w:b/>
          <w:bCs/>
          <w:color w:val="000000" w:themeColor="text1"/>
          <w:sz w:val="52"/>
          <w:szCs w:val="52"/>
          <w:lang w:val="en-US" w:eastAsia="zh-CN"/>
          <w14:textFill>
            <w14:solidFill>
              <w14:schemeClr w14:val="tx1"/>
            </w14:solidFill>
          </w14:textFill>
        </w:rPr>
        <w:t>公共服务系统平台</w:t>
      </w:r>
    </w:p>
    <w:p>
      <w:pPr>
        <w:ind w:left="720" w:leftChars="300" w:firstLine="0" w:firstLineChars="0"/>
        <w:jc w:val="center"/>
        <w:rPr>
          <w:rFonts w:hint="eastAsia" w:ascii="黑体" w:hAnsi="黑体" w:eastAsia="黑体" w:cs="Arial"/>
          <w:color w:val="000000" w:themeColor="text1"/>
          <w:sz w:val="72"/>
          <w:szCs w:val="72"/>
          <w14:textFill>
            <w14:solidFill>
              <w14:schemeClr w14:val="tx1"/>
            </w14:solidFill>
          </w14:textFill>
        </w:rPr>
      </w:pPr>
      <w:r>
        <w:rPr>
          <w:rFonts w:hint="eastAsia" w:ascii="黑体" w:hAnsi="黑体" w:eastAsia="黑体" w:cs="Arial"/>
          <w:color w:val="000000" w:themeColor="text1"/>
          <w:sz w:val="72"/>
          <w:szCs w:val="72"/>
          <w14:textFill>
            <w14:solidFill>
              <w14:schemeClr w14:val="tx1"/>
            </w14:solidFill>
          </w14:textFill>
        </w:rPr>
        <w:t>项</w:t>
      </w:r>
    </w:p>
    <w:p>
      <w:pPr>
        <w:ind w:left="720" w:leftChars="300" w:firstLine="0" w:firstLineChars="0"/>
        <w:jc w:val="center"/>
        <w:rPr>
          <w:rFonts w:hint="eastAsia" w:ascii="黑体" w:hAnsi="黑体" w:eastAsia="黑体" w:cs="Arial"/>
          <w:color w:val="000000" w:themeColor="text1"/>
          <w:sz w:val="72"/>
          <w:szCs w:val="72"/>
          <w14:textFill>
            <w14:solidFill>
              <w14:schemeClr w14:val="tx1"/>
            </w14:solidFill>
          </w14:textFill>
        </w:rPr>
      </w:pPr>
      <w:r>
        <w:rPr>
          <w:rFonts w:hint="eastAsia" w:ascii="黑体" w:hAnsi="黑体" w:eastAsia="黑体" w:cs="Arial"/>
          <w:color w:val="000000" w:themeColor="text1"/>
          <w:sz w:val="72"/>
          <w:szCs w:val="72"/>
          <w14:textFill>
            <w14:solidFill>
              <w14:schemeClr w14:val="tx1"/>
            </w14:solidFill>
          </w14:textFill>
        </w:rPr>
        <w:t>目</w:t>
      </w:r>
    </w:p>
    <w:p>
      <w:pPr>
        <w:ind w:left="720" w:leftChars="300" w:firstLine="0" w:firstLineChars="0"/>
        <w:jc w:val="center"/>
        <w:rPr>
          <w:rFonts w:hint="eastAsia" w:ascii="黑体" w:hAnsi="黑体" w:eastAsia="黑体" w:cs="Arial"/>
          <w:color w:val="000000" w:themeColor="text1"/>
          <w:sz w:val="72"/>
          <w:szCs w:val="72"/>
          <w14:textFill>
            <w14:solidFill>
              <w14:schemeClr w14:val="tx1"/>
            </w14:solidFill>
          </w14:textFill>
        </w:rPr>
      </w:pPr>
      <w:r>
        <w:rPr>
          <w:rFonts w:hint="eastAsia" w:ascii="黑体" w:hAnsi="黑体" w:eastAsia="黑体" w:cs="Arial"/>
          <w:color w:val="000000" w:themeColor="text1"/>
          <w:sz w:val="72"/>
          <w:szCs w:val="72"/>
          <w14:textFill>
            <w14:solidFill>
              <w14:schemeClr w14:val="tx1"/>
            </w14:solidFill>
          </w14:textFill>
        </w:rPr>
        <w:t>方</w:t>
      </w:r>
    </w:p>
    <w:p>
      <w:pPr>
        <w:ind w:left="720" w:leftChars="300" w:firstLine="0" w:firstLineChars="0"/>
        <w:jc w:val="center"/>
        <w:rPr>
          <w:rFonts w:ascii="黑体" w:hAnsi="黑体" w:eastAsia="黑体" w:cs="Arial"/>
          <w:color w:val="000000" w:themeColor="text1"/>
          <w:sz w:val="72"/>
          <w:szCs w:val="72"/>
          <w14:textFill>
            <w14:solidFill>
              <w14:schemeClr w14:val="tx1"/>
            </w14:solidFill>
          </w14:textFill>
        </w:rPr>
      </w:pPr>
      <w:r>
        <w:rPr>
          <w:rFonts w:hint="eastAsia" w:ascii="黑体" w:hAnsi="黑体" w:eastAsia="黑体" w:cs="Arial"/>
          <w:color w:val="000000" w:themeColor="text1"/>
          <w:sz w:val="72"/>
          <w:szCs w:val="72"/>
          <w14:textFill>
            <w14:solidFill>
              <w14:schemeClr w14:val="tx1"/>
            </w14:solidFill>
          </w14:textFill>
        </w:rPr>
        <w:t>案</w:t>
      </w:r>
    </w:p>
    <w:p>
      <w:pPr>
        <w:pStyle w:val="16"/>
      </w:pPr>
    </w:p>
    <w:p>
      <w:pPr>
        <w:pStyle w:val="16"/>
        <w:ind w:firstLine="480"/>
      </w:pPr>
    </w:p>
    <w:p>
      <w:pPr>
        <w:jc w:val="center"/>
        <w:rPr>
          <w:rFonts w:asciiTheme="minorEastAsia" w:hAnsiTheme="minorEastAsia"/>
          <w:b/>
          <w:sz w:val="32"/>
          <w:szCs w:val="32"/>
        </w:rPr>
      </w:pPr>
      <w:r>
        <w:rPr>
          <w:rFonts w:hint="eastAsia" w:asciiTheme="minorEastAsia" w:hAnsiTheme="minorEastAsia"/>
          <w:b/>
          <w:sz w:val="32"/>
          <w:szCs w:val="32"/>
        </w:rPr>
        <w:t>审    定</w:t>
      </w:r>
      <w:r>
        <w:rPr>
          <w:rFonts w:asciiTheme="minorEastAsia" w:hAnsiTheme="minorEastAsia"/>
          <w:b/>
          <w:sz w:val="32"/>
          <w:szCs w:val="32"/>
        </w:rPr>
        <w:t>：</w:t>
      </w:r>
      <w:r>
        <w:rPr>
          <w:rFonts w:hint="eastAsia" w:asciiTheme="minorEastAsia" w:hAnsiTheme="minorEastAsia"/>
          <w:b/>
          <w:sz w:val="32"/>
          <w:szCs w:val="32"/>
        </w:rPr>
        <w:t>李丹明</w:t>
      </w:r>
    </w:p>
    <w:p>
      <w:pPr>
        <w:jc w:val="center"/>
        <w:rPr>
          <w:rFonts w:asciiTheme="minorEastAsia" w:hAnsiTheme="minorEastAsia"/>
          <w:b/>
          <w:sz w:val="32"/>
          <w:szCs w:val="32"/>
        </w:rPr>
      </w:pPr>
      <w:r>
        <w:rPr>
          <w:rFonts w:hint="eastAsia" w:asciiTheme="minorEastAsia" w:hAnsiTheme="minorEastAsia"/>
          <w:b/>
          <w:sz w:val="32"/>
          <w:szCs w:val="32"/>
        </w:rPr>
        <w:t>审    核</w:t>
      </w:r>
      <w:r>
        <w:rPr>
          <w:rFonts w:asciiTheme="minorEastAsia" w:hAnsiTheme="minorEastAsia"/>
          <w:b/>
          <w:sz w:val="32"/>
          <w:szCs w:val="32"/>
        </w:rPr>
        <w:t>：</w:t>
      </w:r>
      <w:r>
        <w:rPr>
          <w:rFonts w:hint="eastAsia" w:asciiTheme="minorEastAsia" w:hAnsiTheme="minorEastAsia"/>
          <w:b/>
          <w:sz w:val="32"/>
          <w:szCs w:val="32"/>
        </w:rPr>
        <w:t>赵建树</w:t>
      </w:r>
    </w:p>
    <w:p>
      <w:pPr>
        <w:jc w:val="center"/>
        <w:rPr>
          <w:rFonts w:asciiTheme="minorEastAsia" w:hAnsiTheme="minorEastAsia"/>
          <w:b/>
          <w:sz w:val="32"/>
          <w:szCs w:val="32"/>
        </w:rPr>
      </w:pPr>
      <w:r>
        <w:rPr>
          <w:rFonts w:hint="eastAsia" w:asciiTheme="minorEastAsia" w:hAnsiTheme="minorEastAsia"/>
          <w:b/>
          <w:sz w:val="32"/>
          <w:szCs w:val="32"/>
        </w:rPr>
        <w:t xml:space="preserve">校    </w:t>
      </w:r>
      <w:r>
        <w:rPr>
          <w:rFonts w:asciiTheme="minorEastAsia" w:hAnsiTheme="minorEastAsia"/>
          <w:b/>
          <w:sz w:val="32"/>
          <w:szCs w:val="32"/>
        </w:rPr>
        <w:t>核：</w:t>
      </w:r>
      <w:r>
        <w:rPr>
          <w:rFonts w:hint="eastAsia" w:asciiTheme="minorEastAsia" w:hAnsiTheme="minorEastAsia"/>
          <w:b/>
          <w:sz w:val="32"/>
          <w:szCs w:val="32"/>
        </w:rPr>
        <w:t>刘志坚</w:t>
      </w:r>
    </w:p>
    <w:p>
      <w:pPr>
        <w:jc w:val="center"/>
        <w:rPr>
          <w:rFonts w:hint="eastAsia" w:eastAsia="宋体" w:cs="Arial"/>
          <w:color w:val="000000" w:themeColor="text1"/>
          <w:sz w:val="32"/>
          <w:szCs w:val="32"/>
          <w:lang w:val="en-US" w:eastAsia="zh-CN"/>
          <w14:textFill>
            <w14:solidFill>
              <w14:schemeClr w14:val="tx1"/>
            </w14:solidFill>
          </w14:textFill>
        </w:rPr>
        <w:sectPr>
          <w:headerReference r:id="rId6" w:type="first"/>
          <w:headerReference r:id="rId5" w:type="even"/>
          <w:footerReference r:id="rId7" w:type="even"/>
          <w:pgSz w:w="11906" w:h="16838"/>
          <w:pgMar w:top="1440" w:right="1797" w:bottom="1440" w:left="1797" w:header="850" w:footer="992" w:gutter="0"/>
          <w:pgBorders>
            <w:top w:val="none" w:sz="0" w:space="0"/>
            <w:left w:val="none" w:sz="0" w:space="0"/>
            <w:bottom w:val="none" w:sz="0" w:space="0"/>
            <w:right w:val="none" w:sz="0" w:space="0"/>
          </w:pgBorders>
          <w:pgNumType w:fmt="decimal" w:start="1"/>
          <w:cols w:space="425" w:num="1"/>
          <w:titlePg/>
          <w:docGrid w:type="lines" w:linePitch="326" w:charSpace="0"/>
        </w:sectPr>
      </w:pPr>
      <w:r>
        <w:rPr>
          <w:rFonts w:hint="eastAsia" w:asciiTheme="minorEastAsia" w:hAnsiTheme="minorEastAsia"/>
          <w:b/>
          <w:sz w:val="32"/>
          <w:szCs w:val="32"/>
        </w:rPr>
        <w:t>编写</w:t>
      </w:r>
      <w:r>
        <w:rPr>
          <w:rFonts w:asciiTheme="minorEastAsia" w:hAnsiTheme="minorEastAsia"/>
          <w:b/>
          <w:sz w:val="32"/>
          <w:szCs w:val="32"/>
        </w:rPr>
        <w:t>人员：</w:t>
      </w:r>
      <w:r>
        <w:rPr>
          <w:rFonts w:hint="eastAsia" w:asciiTheme="minorEastAsia" w:hAnsiTheme="minorEastAsia"/>
          <w:b/>
          <w:sz w:val="32"/>
          <w:szCs w:val="32"/>
          <w:lang w:val="en-US" w:eastAsia="zh-CN"/>
        </w:rPr>
        <w:t>黄国伟</w:t>
      </w:r>
    </w:p>
    <w:p>
      <w:pPr>
        <w:tabs>
          <w:tab w:val="center" w:pos="4476"/>
        </w:tabs>
        <w:ind w:firstLine="480"/>
        <w:rPr>
          <w:color w:val="000000" w:themeColor="text1"/>
          <w:szCs w:val="32"/>
          <w14:textFill>
            <w14:solidFill>
              <w14:schemeClr w14:val="tx1"/>
            </w14:solidFill>
          </w14:textFill>
        </w:rPr>
      </w:pPr>
      <w:r>
        <w:rPr>
          <w:rFonts w:cs="Arial"/>
          <w:color w:val="000000" w:themeColor="text1"/>
          <w:szCs w:val="36"/>
          <w14:textFill>
            <w14:solidFill>
              <w14:schemeClr w14:val="tx1"/>
            </w14:solidFill>
          </w14:textFill>
        </w:rPr>
        <w:tab/>
      </w:r>
      <w:r>
        <w:rPr>
          <w:rFonts w:hint="eastAsia"/>
          <w:color w:val="000000" w:themeColor="text1"/>
          <w:szCs w:val="32"/>
          <w14:textFill>
            <w14:solidFill>
              <w14:schemeClr w14:val="tx1"/>
            </w14:solidFill>
          </w14:textFill>
        </w:rPr>
        <w:t>目录</w:t>
      </w:r>
    </w:p>
    <w:p>
      <w:pPr>
        <w:pStyle w:val="27"/>
        <w:tabs>
          <w:tab w:val="right" w:leader="dot" w:pos="8312"/>
        </w:tabs>
      </w:pPr>
      <w:r>
        <w:rPr>
          <w:color w:val="000000" w:themeColor="text1"/>
          <w:szCs w:val="32"/>
          <w14:textFill>
            <w14:solidFill>
              <w14:schemeClr w14:val="tx1"/>
            </w14:solidFill>
          </w14:textFill>
        </w:rPr>
        <w:fldChar w:fldCharType="begin"/>
      </w:r>
      <w:r>
        <w:rPr>
          <w:color w:val="000000" w:themeColor="text1"/>
          <w:szCs w:val="32"/>
          <w14:textFill>
            <w14:solidFill>
              <w14:schemeClr w14:val="tx1"/>
            </w14:solidFill>
          </w14:textFill>
        </w:rPr>
        <w:instrText xml:space="preserve"> TOC \o "2-3" \h \z \t "标题 1,1" </w:instrText>
      </w:r>
      <w:r>
        <w:rPr>
          <w:color w:val="000000" w:themeColor="text1"/>
          <w:szCs w:val="32"/>
          <w14:textFill>
            <w14:solidFill>
              <w14:schemeClr w14:val="tx1"/>
            </w14:solidFill>
          </w14:textFill>
        </w:rPr>
        <w:fldChar w:fldCharType="separate"/>
      </w:r>
      <w:r>
        <w:rPr>
          <w:color w:val="000000" w:themeColor="text1"/>
          <w:szCs w:val="32"/>
          <w14:textFill>
            <w14:solidFill>
              <w14:schemeClr w14:val="tx1"/>
            </w14:solidFill>
          </w14:textFill>
        </w:rPr>
        <w:fldChar w:fldCharType="begin"/>
      </w:r>
      <w:r>
        <w:rPr>
          <w:szCs w:val="32"/>
        </w:rPr>
        <w:instrText xml:space="preserve"> HYPERLINK \l _Toc5620 </w:instrText>
      </w:r>
      <w:r>
        <w:rPr>
          <w:szCs w:val="32"/>
        </w:rPr>
        <w:fldChar w:fldCharType="separate"/>
      </w:r>
      <w:r>
        <w:rPr>
          <w:rFonts w:hint="eastAsia" w:ascii="Times New Roman" w:hAnsi="Times New Roman"/>
          <w:szCs w:val="36"/>
          <w:lang w:val="en-US" w:eastAsia="zh-CN"/>
        </w:rPr>
        <w:t>前言</w:t>
      </w:r>
      <w:r>
        <w:tab/>
      </w:r>
      <w:r>
        <w:fldChar w:fldCharType="begin"/>
      </w:r>
      <w:r>
        <w:instrText xml:space="preserve"> PAGEREF _Toc5620 \h </w:instrText>
      </w:r>
      <w:r>
        <w:fldChar w:fldCharType="separate"/>
      </w:r>
      <w:r>
        <w:t>1</w:t>
      </w:r>
      <w:r>
        <w:fldChar w:fldCharType="end"/>
      </w:r>
      <w:r>
        <w:rPr>
          <w:color w:val="000000" w:themeColor="text1"/>
          <w:szCs w:val="32"/>
          <w14:textFill>
            <w14:solidFill>
              <w14:schemeClr w14:val="tx1"/>
            </w14:solidFill>
          </w14:textFill>
        </w:rPr>
        <w:fldChar w:fldCharType="end"/>
      </w:r>
    </w:p>
    <w:p>
      <w:pPr>
        <w:pStyle w:val="27"/>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_Toc31891 </w:instrText>
      </w:r>
      <w:r>
        <w:rPr>
          <w:szCs w:val="32"/>
        </w:rPr>
        <w:fldChar w:fldCharType="separate"/>
      </w:r>
      <w:r>
        <w:rPr>
          <w:rFonts w:hint="eastAsia" w:ascii="Times New Roman" w:hAnsi="Times New Roman"/>
          <w:szCs w:val="36"/>
          <w:lang w:val="en-US" w:eastAsia="zh-CN"/>
        </w:rPr>
        <w:t>第一部分  信息化建设方案</w:t>
      </w:r>
      <w:r>
        <w:tab/>
      </w:r>
      <w:r>
        <w:fldChar w:fldCharType="begin"/>
      </w:r>
      <w:r>
        <w:instrText xml:space="preserve"> PAGEREF _Toc31891 \h </w:instrText>
      </w:r>
      <w:r>
        <w:fldChar w:fldCharType="separate"/>
      </w:r>
      <w:r>
        <w:t>2</w:t>
      </w:r>
      <w:r>
        <w:fldChar w:fldCharType="end"/>
      </w:r>
      <w:r>
        <w:rPr>
          <w:color w:val="000000" w:themeColor="text1"/>
          <w:szCs w:val="32"/>
          <w14:textFill>
            <w14:solidFill>
              <w14:schemeClr w14:val="tx1"/>
            </w14:solidFill>
          </w14:textFill>
        </w:rPr>
        <w:fldChar w:fldCharType="end"/>
      </w:r>
    </w:p>
    <w:p>
      <w:pPr>
        <w:pStyle w:val="27"/>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_Toc11650 </w:instrText>
      </w:r>
      <w:r>
        <w:rPr>
          <w:szCs w:val="32"/>
        </w:rPr>
        <w:fldChar w:fldCharType="separate"/>
      </w:r>
      <w:r>
        <w:rPr>
          <w:rFonts w:hint="eastAsia" w:ascii="Times New Roman" w:hAnsi="Times New Roman"/>
          <w:szCs w:val="32"/>
        </w:rPr>
        <w:t>第1章 项目概述</w:t>
      </w:r>
      <w:r>
        <w:tab/>
      </w:r>
      <w:r>
        <w:fldChar w:fldCharType="begin"/>
      </w:r>
      <w:r>
        <w:instrText xml:space="preserve"> PAGEREF _Toc11650 \h </w:instrText>
      </w:r>
      <w:r>
        <w:fldChar w:fldCharType="separate"/>
      </w:r>
      <w:r>
        <w:t>2</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_Toc22653 </w:instrText>
      </w:r>
      <w:r>
        <w:rPr>
          <w:szCs w:val="32"/>
        </w:rPr>
        <w:fldChar w:fldCharType="separate"/>
      </w:r>
      <w:r>
        <w:rPr>
          <w:rFonts w:hint="eastAsia"/>
        </w:rPr>
        <w:t>1.1. 项目名称</w:t>
      </w:r>
      <w:r>
        <w:tab/>
      </w:r>
      <w:r>
        <w:fldChar w:fldCharType="begin"/>
      </w:r>
      <w:r>
        <w:instrText xml:space="preserve"> PAGEREF _Toc22653 \h </w:instrText>
      </w:r>
      <w:r>
        <w:fldChar w:fldCharType="separate"/>
      </w:r>
      <w:r>
        <w:t>2</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_Toc6565 </w:instrText>
      </w:r>
      <w:r>
        <w:rPr>
          <w:szCs w:val="32"/>
        </w:rPr>
        <w:fldChar w:fldCharType="separate"/>
      </w:r>
      <w:r>
        <w:rPr>
          <w:rFonts w:hint="eastAsia"/>
        </w:rPr>
        <w:t>1.2. 项目性质</w:t>
      </w:r>
      <w:r>
        <w:tab/>
      </w:r>
      <w:r>
        <w:fldChar w:fldCharType="begin"/>
      </w:r>
      <w:r>
        <w:instrText xml:space="preserve"> PAGEREF _Toc6565 \h </w:instrText>
      </w:r>
      <w:r>
        <w:fldChar w:fldCharType="separate"/>
      </w:r>
      <w:r>
        <w:t>2</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_Toc23957 </w:instrText>
      </w:r>
      <w:r>
        <w:rPr>
          <w:szCs w:val="32"/>
        </w:rPr>
        <w:fldChar w:fldCharType="separate"/>
      </w:r>
      <w:r>
        <w:rPr>
          <w:rFonts w:hint="eastAsia"/>
        </w:rPr>
        <w:t>1.3. 项目单位及方案编制机构信息</w:t>
      </w:r>
      <w:r>
        <w:tab/>
      </w:r>
      <w:r>
        <w:fldChar w:fldCharType="begin"/>
      </w:r>
      <w:r>
        <w:instrText xml:space="preserve"> PAGEREF _Toc23957 \h </w:instrText>
      </w:r>
      <w:r>
        <w:fldChar w:fldCharType="separate"/>
      </w:r>
      <w:r>
        <w:t>2</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_Toc21115 </w:instrText>
      </w:r>
      <w:r>
        <w:rPr>
          <w:szCs w:val="32"/>
        </w:rPr>
        <w:fldChar w:fldCharType="separate"/>
      </w:r>
      <w:r>
        <w:rPr>
          <w:rFonts w:hint="eastAsia"/>
        </w:rPr>
        <w:t>1.4. 项目立项政策依据</w:t>
      </w:r>
      <w:r>
        <w:tab/>
      </w:r>
      <w:r>
        <w:fldChar w:fldCharType="begin"/>
      </w:r>
      <w:r>
        <w:instrText xml:space="preserve"> PAGEREF _Toc21115 \h </w:instrText>
      </w:r>
      <w:r>
        <w:fldChar w:fldCharType="separate"/>
      </w:r>
      <w:r>
        <w:t>2</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_Toc27866 </w:instrText>
      </w:r>
      <w:r>
        <w:rPr>
          <w:szCs w:val="32"/>
        </w:rPr>
        <w:fldChar w:fldCharType="separate"/>
      </w:r>
      <w:r>
        <w:rPr>
          <w:rFonts w:hint="eastAsia"/>
        </w:rPr>
        <w:t>1.5. 项目建设绩效目标</w:t>
      </w:r>
      <w:r>
        <w:tab/>
      </w:r>
      <w:r>
        <w:fldChar w:fldCharType="begin"/>
      </w:r>
      <w:r>
        <w:instrText xml:space="preserve"> PAGEREF _Toc27866 \h </w:instrText>
      </w:r>
      <w:r>
        <w:fldChar w:fldCharType="separate"/>
      </w:r>
      <w:r>
        <w:t>3</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_Toc16634 </w:instrText>
      </w:r>
      <w:r>
        <w:rPr>
          <w:szCs w:val="32"/>
        </w:rPr>
        <w:fldChar w:fldCharType="separate"/>
      </w:r>
      <w:r>
        <w:rPr>
          <w:rFonts w:hint="eastAsia" w:ascii="黑体" w:hAnsi="黑体" w:eastAsia="黑体"/>
          <w:bCs w:val="0"/>
          <w:lang w:val="en-US" w:eastAsia="zh-CN"/>
        </w:rPr>
        <w:t xml:space="preserve">1.5.1. </w:t>
      </w:r>
      <w:r>
        <w:rPr>
          <w:rFonts w:hint="eastAsia"/>
          <w:lang w:val="en-US" w:eastAsia="zh-CN"/>
        </w:rPr>
        <w:t>建设目标</w:t>
      </w:r>
      <w:r>
        <w:tab/>
      </w:r>
      <w:r>
        <w:fldChar w:fldCharType="begin"/>
      </w:r>
      <w:r>
        <w:instrText xml:space="preserve"> PAGEREF _Toc16634 \h </w:instrText>
      </w:r>
      <w:r>
        <w:fldChar w:fldCharType="separate"/>
      </w:r>
      <w:r>
        <w:t>3</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_Toc28561 </w:instrText>
      </w:r>
      <w:r>
        <w:rPr>
          <w:szCs w:val="32"/>
        </w:rPr>
        <w:fldChar w:fldCharType="separate"/>
      </w:r>
      <w:r>
        <w:rPr>
          <w:rFonts w:hint="eastAsia" w:ascii="黑体" w:hAnsi="黑体" w:eastAsia="黑体"/>
          <w:bCs w:val="0"/>
        </w:rPr>
        <w:t xml:space="preserve">1.5.2. </w:t>
      </w:r>
      <w:r>
        <w:rPr>
          <w:rFonts w:hint="eastAsia"/>
          <w:lang w:val="en-US" w:eastAsia="zh-CN"/>
        </w:rPr>
        <w:t>绩效目标</w:t>
      </w:r>
      <w:r>
        <w:tab/>
      </w:r>
      <w:r>
        <w:fldChar w:fldCharType="begin"/>
      </w:r>
      <w:r>
        <w:instrText xml:space="preserve"> PAGEREF _Toc28561 \h </w:instrText>
      </w:r>
      <w:r>
        <w:fldChar w:fldCharType="separate"/>
      </w:r>
      <w:r>
        <w:t>4</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_Toc25815 </w:instrText>
      </w:r>
      <w:r>
        <w:rPr>
          <w:szCs w:val="32"/>
        </w:rPr>
        <w:fldChar w:fldCharType="separate"/>
      </w:r>
      <w:r>
        <w:rPr>
          <w:rFonts w:hint="eastAsia"/>
        </w:rPr>
        <w:t>1.6. 项目周期</w:t>
      </w:r>
      <w:r>
        <w:tab/>
      </w:r>
      <w:r>
        <w:fldChar w:fldCharType="begin"/>
      </w:r>
      <w:r>
        <w:instrText xml:space="preserve"> PAGEREF _Toc25815 \h </w:instrText>
      </w:r>
      <w:r>
        <w:fldChar w:fldCharType="separate"/>
      </w:r>
      <w:r>
        <w:t>5</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_Toc15386 </w:instrText>
      </w:r>
      <w:r>
        <w:rPr>
          <w:szCs w:val="32"/>
        </w:rPr>
        <w:fldChar w:fldCharType="separate"/>
      </w:r>
      <w:r>
        <w:rPr>
          <w:rFonts w:hint="eastAsia"/>
        </w:rPr>
        <w:t>1.7. 项目建设内容一览表</w:t>
      </w:r>
      <w:r>
        <w:tab/>
      </w:r>
      <w:r>
        <w:fldChar w:fldCharType="begin"/>
      </w:r>
      <w:r>
        <w:instrText xml:space="preserve"> PAGEREF _Toc15386 \h </w:instrText>
      </w:r>
      <w:r>
        <w:fldChar w:fldCharType="separate"/>
      </w:r>
      <w:r>
        <w:t>5</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_Toc8832 </w:instrText>
      </w:r>
      <w:r>
        <w:rPr>
          <w:szCs w:val="32"/>
        </w:rPr>
        <w:fldChar w:fldCharType="separate"/>
      </w:r>
      <w:r>
        <w:rPr>
          <w:rFonts w:hint="eastAsia"/>
        </w:rPr>
        <w:t>1.8. 总投资及来源</w:t>
      </w:r>
      <w:r>
        <w:tab/>
      </w:r>
      <w:r>
        <w:fldChar w:fldCharType="begin"/>
      </w:r>
      <w:r>
        <w:instrText xml:space="preserve"> PAGEREF _Toc8832 \h </w:instrText>
      </w:r>
      <w:r>
        <w:fldChar w:fldCharType="separate"/>
      </w:r>
      <w:r>
        <w:t>5</w:t>
      </w:r>
      <w:r>
        <w:fldChar w:fldCharType="end"/>
      </w:r>
      <w:r>
        <w:rPr>
          <w:color w:val="000000" w:themeColor="text1"/>
          <w:szCs w:val="32"/>
          <w14:textFill>
            <w14:solidFill>
              <w14:schemeClr w14:val="tx1"/>
            </w14:solidFill>
          </w14:textFill>
        </w:rPr>
        <w:fldChar w:fldCharType="end"/>
      </w:r>
    </w:p>
    <w:p>
      <w:pPr>
        <w:pStyle w:val="27"/>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_Toc13936 </w:instrText>
      </w:r>
      <w:r>
        <w:rPr>
          <w:szCs w:val="32"/>
        </w:rPr>
        <w:fldChar w:fldCharType="separate"/>
      </w:r>
      <w:r>
        <w:rPr>
          <w:rFonts w:hint="eastAsia" w:ascii="Times New Roman" w:hAnsi="Times New Roman"/>
          <w:szCs w:val="32"/>
        </w:rPr>
        <w:t>第2章 项目单位概况</w:t>
      </w:r>
      <w:r>
        <w:tab/>
      </w:r>
      <w:r>
        <w:fldChar w:fldCharType="begin"/>
      </w:r>
      <w:r>
        <w:instrText xml:space="preserve"> PAGEREF _Toc13936 \h </w:instrText>
      </w:r>
      <w:r>
        <w:fldChar w:fldCharType="separate"/>
      </w:r>
      <w:r>
        <w:t>7</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_Toc16936 </w:instrText>
      </w:r>
      <w:r>
        <w:rPr>
          <w:szCs w:val="32"/>
        </w:rPr>
        <w:fldChar w:fldCharType="separate"/>
      </w:r>
      <w:r>
        <w:rPr>
          <w:rFonts w:hint="eastAsia"/>
        </w:rPr>
        <w:t>2.1. 项目单位概况</w:t>
      </w:r>
      <w:r>
        <w:tab/>
      </w:r>
      <w:r>
        <w:fldChar w:fldCharType="begin"/>
      </w:r>
      <w:r>
        <w:instrText xml:space="preserve"> PAGEREF _Toc16936 \h </w:instrText>
      </w:r>
      <w:r>
        <w:fldChar w:fldCharType="separate"/>
      </w:r>
      <w:r>
        <w:t>7</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_Toc12695 </w:instrText>
      </w:r>
      <w:r>
        <w:rPr>
          <w:szCs w:val="32"/>
        </w:rPr>
        <w:fldChar w:fldCharType="separate"/>
      </w:r>
      <w:r>
        <w:rPr>
          <w:rFonts w:hint="eastAsia" w:ascii="黑体" w:hAnsi="黑体" w:eastAsia="黑体"/>
          <w:bCs w:val="0"/>
        </w:rPr>
        <w:t xml:space="preserve">2.1.1. </w:t>
      </w:r>
      <w:r>
        <w:rPr>
          <w:rFonts w:hint="eastAsia"/>
        </w:rPr>
        <w:t>项目单位简介</w:t>
      </w:r>
      <w:r>
        <w:tab/>
      </w:r>
      <w:r>
        <w:fldChar w:fldCharType="begin"/>
      </w:r>
      <w:r>
        <w:instrText xml:space="preserve"> PAGEREF _Toc12695 \h </w:instrText>
      </w:r>
      <w:r>
        <w:fldChar w:fldCharType="separate"/>
      </w:r>
      <w:r>
        <w:t>7</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_Toc12278 </w:instrText>
      </w:r>
      <w:r>
        <w:rPr>
          <w:szCs w:val="32"/>
        </w:rPr>
        <w:fldChar w:fldCharType="separate"/>
      </w:r>
      <w:r>
        <w:rPr>
          <w:rFonts w:hint="eastAsia" w:ascii="黑体" w:hAnsi="黑体" w:eastAsia="黑体"/>
          <w:bCs w:val="0"/>
        </w:rPr>
        <w:t xml:space="preserve">2.1.2. </w:t>
      </w:r>
      <w:r>
        <w:rPr>
          <w:rFonts w:hint="eastAsia"/>
        </w:rPr>
        <w:t>组织机构</w:t>
      </w:r>
      <w:r>
        <w:tab/>
      </w:r>
      <w:r>
        <w:fldChar w:fldCharType="begin"/>
      </w:r>
      <w:r>
        <w:instrText xml:space="preserve"> PAGEREF _Toc12278 \h </w:instrText>
      </w:r>
      <w:r>
        <w:fldChar w:fldCharType="separate"/>
      </w:r>
      <w:r>
        <w:t>9</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_Toc388 </w:instrText>
      </w:r>
      <w:r>
        <w:rPr>
          <w:szCs w:val="32"/>
        </w:rPr>
        <w:fldChar w:fldCharType="separate"/>
      </w:r>
      <w:r>
        <w:rPr>
          <w:rFonts w:hint="eastAsia"/>
        </w:rPr>
        <w:t>2.2. 本单位信息化现状</w:t>
      </w:r>
      <w:r>
        <w:tab/>
      </w:r>
      <w:r>
        <w:fldChar w:fldCharType="begin"/>
      </w:r>
      <w:r>
        <w:instrText xml:space="preserve"> PAGEREF _Toc388 \h </w:instrText>
      </w:r>
      <w:r>
        <w:fldChar w:fldCharType="separate"/>
      </w:r>
      <w:r>
        <w:t>13</w:t>
      </w:r>
      <w:r>
        <w:fldChar w:fldCharType="end"/>
      </w:r>
      <w:r>
        <w:rPr>
          <w:color w:val="000000" w:themeColor="text1"/>
          <w:szCs w:val="32"/>
          <w14:textFill>
            <w14:solidFill>
              <w14:schemeClr w14:val="tx1"/>
            </w14:solidFill>
          </w14:textFill>
        </w:rPr>
        <w:fldChar w:fldCharType="end"/>
      </w:r>
    </w:p>
    <w:p>
      <w:pPr>
        <w:pStyle w:val="27"/>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_Toc20173 </w:instrText>
      </w:r>
      <w:r>
        <w:rPr>
          <w:szCs w:val="32"/>
        </w:rPr>
        <w:fldChar w:fldCharType="separate"/>
      </w:r>
      <w:r>
        <w:rPr>
          <w:rFonts w:hint="eastAsia" w:ascii="Times New Roman" w:hAnsi="Times New Roman"/>
          <w:szCs w:val="32"/>
        </w:rPr>
        <w:t>第3章 业务现状、项目必要性和需求分析</w:t>
      </w:r>
      <w:r>
        <w:tab/>
      </w:r>
      <w:r>
        <w:fldChar w:fldCharType="begin"/>
      </w:r>
      <w:r>
        <w:instrText xml:space="preserve"> PAGEREF _Toc20173 \h </w:instrText>
      </w:r>
      <w:r>
        <w:fldChar w:fldCharType="separate"/>
      </w:r>
      <w:r>
        <w:t>15</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_Toc26949 </w:instrText>
      </w:r>
      <w:r>
        <w:rPr>
          <w:szCs w:val="32"/>
        </w:rPr>
        <w:fldChar w:fldCharType="separate"/>
      </w:r>
      <w:r>
        <w:rPr>
          <w:rFonts w:hint="eastAsia"/>
        </w:rPr>
        <w:t>3.1. 业务现状分析</w:t>
      </w:r>
      <w:r>
        <w:tab/>
      </w:r>
      <w:r>
        <w:fldChar w:fldCharType="begin"/>
      </w:r>
      <w:r>
        <w:instrText xml:space="preserve"> PAGEREF _Toc26949 \h </w:instrText>
      </w:r>
      <w:r>
        <w:fldChar w:fldCharType="separate"/>
      </w:r>
      <w:r>
        <w:t>15</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_Toc31315 </w:instrText>
      </w:r>
      <w:r>
        <w:rPr>
          <w:szCs w:val="32"/>
        </w:rPr>
        <w:fldChar w:fldCharType="separate"/>
      </w:r>
      <w:r>
        <w:rPr>
          <w:rFonts w:hint="eastAsia"/>
        </w:rPr>
        <w:t>3.2. 存在的问题及必要性分析</w:t>
      </w:r>
      <w:r>
        <w:tab/>
      </w:r>
      <w:r>
        <w:fldChar w:fldCharType="begin"/>
      </w:r>
      <w:r>
        <w:instrText xml:space="preserve"> PAGEREF _Toc31315 \h </w:instrText>
      </w:r>
      <w:r>
        <w:fldChar w:fldCharType="separate"/>
      </w:r>
      <w:r>
        <w:t>15</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_Toc12151 </w:instrText>
      </w:r>
      <w:r>
        <w:rPr>
          <w:szCs w:val="32"/>
        </w:rPr>
        <w:fldChar w:fldCharType="separate"/>
      </w:r>
      <w:r>
        <w:rPr>
          <w:rFonts w:hint="eastAsia" w:ascii="黑体" w:hAnsi="黑体" w:eastAsia="黑体"/>
          <w:bCs w:val="0"/>
        </w:rPr>
        <w:t xml:space="preserve">3.2.1. </w:t>
      </w:r>
      <w:r>
        <w:rPr>
          <w:rFonts w:hint="eastAsia"/>
        </w:rPr>
        <w:t>存在的问题</w:t>
      </w:r>
      <w:r>
        <w:tab/>
      </w:r>
      <w:r>
        <w:fldChar w:fldCharType="begin"/>
      </w:r>
      <w:r>
        <w:instrText xml:space="preserve"> PAGEREF _Toc12151 \h </w:instrText>
      </w:r>
      <w:r>
        <w:fldChar w:fldCharType="separate"/>
      </w:r>
      <w:r>
        <w:t>15</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_Toc31255 </w:instrText>
      </w:r>
      <w:r>
        <w:rPr>
          <w:szCs w:val="32"/>
        </w:rPr>
        <w:fldChar w:fldCharType="separate"/>
      </w:r>
      <w:r>
        <w:rPr>
          <w:rFonts w:hint="eastAsia" w:ascii="黑体" w:hAnsi="黑体" w:eastAsia="黑体"/>
          <w:bCs w:val="0"/>
        </w:rPr>
        <w:t xml:space="preserve">3.2.2. </w:t>
      </w:r>
      <w:r>
        <w:rPr>
          <w:rFonts w:hint="eastAsia"/>
        </w:rPr>
        <w:t>项目必要性分析</w:t>
      </w:r>
      <w:r>
        <w:tab/>
      </w:r>
      <w:r>
        <w:fldChar w:fldCharType="begin"/>
      </w:r>
      <w:r>
        <w:instrText xml:space="preserve"> PAGEREF _Toc31255 \h </w:instrText>
      </w:r>
      <w:r>
        <w:fldChar w:fldCharType="separate"/>
      </w:r>
      <w:r>
        <w:t>16</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_Toc13123 </w:instrText>
      </w:r>
      <w:r>
        <w:rPr>
          <w:szCs w:val="32"/>
        </w:rPr>
        <w:fldChar w:fldCharType="separate"/>
      </w:r>
      <w:r>
        <w:rPr>
          <w:rFonts w:hint="eastAsia" w:ascii="宋体" w:hAnsi="宋体" w:cs="宋体"/>
          <w:szCs w:val="32"/>
        </w:rPr>
        <w:t xml:space="preserve">3.3. </w:t>
      </w:r>
      <w:r>
        <w:rPr>
          <w:rFonts w:hint="eastAsia"/>
        </w:rPr>
        <w:t>需求分析</w:t>
      </w:r>
      <w:r>
        <w:tab/>
      </w:r>
      <w:r>
        <w:fldChar w:fldCharType="begin"/>
      </w:r>
      <w:r>
        <w:instrText xml:space="preserve"> PAGEREF _Toc13123 \h </w:instrText>
      </w:r>
      <w:r>
        <w:fldChar w:fldCharType="separate"/>
      </w:r>
      <w:r>
        <w:t>17</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_Toc30474 </w:instrText>
      </w:r>
      <w:r>
        <w:rPr>
          <w:szCs w:val="32"/>
        </w:rPr>
        <w:fldChar w:fldCharType="separate"/>
      </w:r>
      <w:r>
        <w:rPr>
          <w:rFonts w:hint="eastAsia" w:ascii="黑体" w:hAnsi="黑体" w:eastAsia="黑体"/>
          <w:bCs w:val="0"/>
        </w:rPr>
        <w:t xml:space="preserve">3.3.1. </w:t>
      </w:r>
      <w:r>
        <w:rPr>
          <w:rFonts w:hint="eastAsia"/>
        </w:rPr>
        <w:t>精准扶贫的需要</w:t>
      </w:r>
      <w:r>
        <w:tab/>
      </w:r>
      <w:r>
        <w:fldChar w:fldCharType="begin"/>
      </w:r>
      <w:r>
        <w:instrText xml:space="preserve"> PAGEREF _Toc30474 \h </w:instrText>
      </w:r>
      <w:r>
        <w:fldChar w:fldCharType="separate"/>
      </w:r>
      <w:r>
        <w:t>18</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_Toc28289 </w:instrText>
      </w:r>
      <w:r>
        <w:rPr>
          <w:szCs w:val="32"/>
        </w:rPr>
        <w:fldChar w:fldCharType="separate"/>
      </w:r>
      <w:r>
        <w:rPr>
          <w:rFonts w:hint="eastAsia" w:ascii="黑体" w:hAnsi="黑体" w:eastAsia="黑体"/>
          <w:bCs w:val="0"/>
        </w:rPr>
        <w:t xml:space="preserve">3.3.2. </w:t>
      </w:r>
      <w:r>
        <w:rPr>
          <w:rFonts w:hint="eastAsia"/>
        </w:rPr>
        <w:t>解决就业的需要</w:t>
      </w:r>
      <w:r>
        <w:tab/>
      </w:r>
      <w:r>
        <w:fldChar w:fldCharType="begin"/>
      </w:r>
      <w:r>
        <w:instrText xml:space="preserve"> PAGEREF _Toc28289 \h </w:instrText>
      </w:r>
      <w:r>
        <w:fldChar w:fldCharType="separate"/>
      </w:r>
      <w:r>
        <w:t>18</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_Toc19882 </w:instrText>
      </w:r>
      <w:r>
        <w:rPr>
          <w:szCs w:val="32"/>
        </w:rPr>
        <w:fldChar w:fldCharType="separate"/>
      </w:r>
      <w:r>
        <w:rPr>
          <w:rFonts w:hint="eastAsia" w:ascii="黑体" w:hAnsi="黑体" w:eastAsia="黑体"/>
          <w:bCs w:val="0"/>
        </w:rPr>
        <w:t xml:space="preserve">3.3.3. </w:t>
      </w:r>
      <w:r>
        <w:rPr>
          <w:rFonts w:hint="eastAsia"/>
        </w:rPr>
        <w:t>产业发展的需要</w:t>
      </w:r>
      <w:r>
        <w:tab/>
      </w:r>
      <w:r>
        <w:fldChar w:fldCharType="begin"/>
      </w:r>
      <w:r>
        <w:instrText xml:space="preserve"> PAGEREF _Toc19882 \h </w:instrText>
      </w:r>
      <w:r>
        <w:fldChar w:fldCharType="separate"/>
      </w:r>
      <w:r>
        <w:t>18</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_Toc30128 </w:instrText>
      </w:r>
      <w:r>
        <w:rPr>
          <w:szCs w:val="32"/>
        </w:rPr>
        <w:fldChar w:fldCharType="separate"/>
      </w:r>
      <w:r>
        <w:rPr>
          <w:rFonts w:hint="eastAsia" w:ascii="黑体" w:hAnsi="黑体" w:eastAsia="黑体"/>
          <w:bCs w:val="0"/>
        </w:rPr>
        <w:t xml:space="preserve">3.3.4. </w:t>
      </w:r>
      <w:r>
        <w:rPr>
          <w:rFonts w:hint="eastAsia"/>
        </w:rPr>
        <w:t>创业创新的需要</w:t>
      </w:r>
      <w:r>
        <w:tab/>
      </w:r>
      <w:r>
        <w:fldChar w:fldCharType="begin"/>
      </w:r>
      <w:r>
        <w:instrText xml:space="preserve"> PAGEREF _Toc30128 \h </w:instrText>
      </w:r>
      <w:r>
        <w:fldChar w:fldCharType="separate"/>
      </w:r>
      <w:r>
        <w:t>19</w:t>
      </w:r>
      <w:r>
        <w:fldChar w:fldCharType="end"/>
      </w:r>
      <w:r>
        <w:rPr>
          <w:color w:val="000000" w:themeColor="text1"/>
          <w:szCs w:val="32"/>
          <w14:textFill>
            <w14:solidFill>
              <w14:schemeClr w14:val="tx1"/>
            </w14:solidFill>
          </w14:textFill>
        </w:rPr>
        <w:fldChar w:fldCharType="end"/>
      </w:r>
    </w:p>
    <w:p>
      <w:pPr>
        <w:pStyle w:val="27"/>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_Toc10892 </w:instrText>
      </w:r>
      <w:r>
        <w:rPr>
          <w:szCs w:val="32"/>
        </w:rPr>
        <w:fldChar w:fldCharType="separate"/>
      </w:r>
      <w:r>
        <w:rPr>
          <w:rFonts w:hint="eastAsia" w:ascii="Times New Roman" w:hAnsi="Times New Roman"/>
          <w:szCs w:val="32"/>
        </w:rPr>
        <w:t>第4章 项目方案</w:t>
      </w:r>
      <w:r>
        <w:tab/>
      </w:r>
      <w:r>
        <w:fldChar w:fldCharType="begin"/>
      </w:r>
      <w:r>
        <w:instrText xml:space="preserve"> PAGEREF _Toc10892 \h </w:instrText>
      </w:r>
      <w:r>
        <w:fldChar w:fldCharType="separate"/>
      </w:r>
      <w:r>
        <w:t>20</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_Toc19678 </w:instrText>
      </w:r>
      <w:r>
        <w:rPr>
          <w:szCs w:val="32"/>
        </w:rPr>
        <w:fldChar w:fldCharType="separate"/>
      </w:r>
      <w:r>
        <w:rPr>
          <w:rFonts w:hint="eastAsia"/>
        </w:rPr>
        <w:t>4.1. 项目整体框架</w:t>
      </w:r>
      <w:r>
        <w:tab/>
      </w:r>
      <w:r>
        <w:fldChar w:fldCharType="begin"/>
      </w:r>
      <w:r>
        <w:instrText xml:space="preserve"> PAGEREF _Toc19678 \h </w:instrText>
      </w:r>
      <w:r>
        <w:fldChar w:fldCharType="separate"/>
      </w:r>
      <w:r>
        <w:t>20</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_Toc3110 </w:instrText>
      </w:r>
      <w:r>
        <w:rPr>
          <w:szCs w:val="32"/>
        </w:rPr>
        <w:fldChar w:fldCharType="separate"/>
      </w:r>
      <w:r>
        <w:rPr>
          <w:rFonts w:hint="eastAsia" w:ascii="黑体" w:hAnsi="黑体" w:eastAsia="黑体"/>
          <w:bCs w:val="0"/>
          <w:lang w:val="en-US" w:eastAsia="zh-CN"/>
        </w:rPr>
        <w:t xml:space="preserve">4.1.1. </w:t>
      </w:r>
      <w:r>
        <w:rPr>
          <w:rFonts w:hint="eastAsia"/>
          <w:lang w:val="en-US" w:eastAsia="zh-CN"/>
        </w:rPr>
        <w:t>建设原则</w:t>
      </w:r>
      <w:r>
        <w:tab/>
      </w:r>
      <w:r>
        <w:fldChar w:fldCharType="begin"/>
      </w:r>
      <w:r>
        <w:instrText xml:space="preserve"> PAGEREF _Toc3110 \h </w:instrText>
      </w:r>
      <w:r>
        <w:fldChar w:fldCharType="separate"/>
      </w:r>
      <w:r>
        <w:t>20</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_Toc24768 </w:instrText>
      </w:r>
      <w:r>
        <w:rPr>
          <w:szCs w:val="32"/>
        </w:rPr>
        <w:fldChar w:fldCharType="separate"/>
      </w:r>
      <w:r>
        <w:rPr>
          <w:rFonts w:hint="eastAsia" w:ascii="黑体" w:hAnsi="黑体" w:eastAsia="黑体"/>
          <w:bCs w:val="0"/>
          <w:lang w:val="en-US" w:eastAsia="zh-CN"/>
        </w:rPr>
        <w:t xml:space="preserve">4.1.2. </w:t>
      </w:r>
      <w:r>
        <w:rPr>
          <w:rFonts w:hint="eastAsia"/>
          <w:lang w:val="en-US" w:eastAsia="zh-CN"/>
        </w:rPr>
        <w:t>整体概述</w:t>
      </w:r>
      <w:r>
        <w:tab/>
      </w:r>
      <w:r>
        <w:fldChar w:fldCharType="begin"/>
      </w:r>
      <w:r>
        <w:instrText xml:space="preserve"> PAGEREF _Toc24768 \h </w:instrText>
      </w:r>
      <w:r>
        <w:fldChar w:fldCharType="separate"/>
      </w:r>
      <w:r>
        <w:t>21</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_Toc23566 </w:instrText>
      </w:r>
      <w:r>
        <w:rPr>
          <w:szCs w:val="32"/>
        </w:rPr>
        <w:fldChar w:fldCharType="separate"/>
      </w:r>
      <w:r>
        <w:rPr>
          <w:rFonts w:hint="eastAsia" w:ascii="黑体" w:hAnsi="黑体" w:eastAsia="黑体" w:cs="宋体"/>
          <w:bCs w:val="0"/>
          <w:lang w:val="en-US" w:eastAsia="zh-CN"/>
        </w:rPr>
        <w:t xml:space="preserve">4.1.3. </w:t>
      </w:r>
      <w:r>
        <w:rPr>
          <w:rFonts w:hint="eastAsia" w:cs="宋体"/>
          <w:lang w:val="en-US" w:eastAsia="zh-CN"/>
        </w:rPr>
        <w:t>技术</w:t>
      </w:r>
      <w:r>
        <w:rPr>
          <w:rFonts w:hint="eastAsia"/>
          <w:lang w:val="en-US" w:eastAsia="zh-CN"/>
        </w:rPr>
        <w:t>路线</w:t>
      </w:r>
      <w:r>
        <w:tab/>
      </w:r>
      <w:r>
        <w:fldChar w:fldCharType="begin"/>
      </w:r>
      <w:r>
        <w:instrText xml:space="preserve"> PAGEREF _Toc23566 \h </w:instrText>
      </w:r>
      <w:r>
        <w:fldChar w:fldCharType="separate"/>
      </w:r>
      <w:r>
        <w:t>21</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_Toc11648 </w:instrText>
      </w:r>
      <w:r>
        <w:rPr>
          <w:szCs w:val="32"/>
        </w:rPr>
        <w:fldChar w:fldCharType="separate"/>
      </w:r>
      <w:r>
        <w:rPr>
          <w:rFonts w:hint="eastAsia" w:ascii="黑体" w:hAnsi="黑体" w:eastAsia="黑体" w:cs="宋体"/>
          <w:bCs w:val="0"/>
          <w:lang w:val="en-US" w:eastAsia="zh-CN"/>
        </w:rPr>
        <w:t xml:space="preserve">4.1.4. </w:t>
      </w:r>
      <w:r>
        <w:rPr>
          <w:rFonts w:hint="eastAsia" w:cs="宋体"/>
          <w:lang w:val="en-US" w:eastAsia="zh-CN"/>
        </w:rPr>
        <w:t>总体结构</w:t>
      </w:r>
      <w:r>
        <w:tab/>
      </w:r>
      <w:r>
        <w:fldChar w:fldCharType="begin"/>
      </w:r>
      <w:r>
        <w:instrText xml:space="preserve"> PAGEREF _Toc11648 \h </w:instrText>
      </w:r>
      <w:r>
        <w:fldChar w:fldCharType="separate"/>
      </w:r>
      <w:r>
        <w:t>22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_Toc8967 </w:instrText>
      </w:r>
      <w:r>
        <w:rPr>
          <w:szCs w:val="32"/>
        </w:rPr>
        <w:fldChar w:fldCharType="separate"/>
      </w:r>
      <w:r>
        <w:rPr>
          <w:rFonts w:hint="eastAsia" w:ascii="黑体" w:hAnsi="黑体" w:eastAsia="黑体" w:cs="宋体"/>
          <w:bCs w:val="0"/>
          <w:lang w:val="en-US" w:eastAsia="zh-CN"/>
        </w:rPr>
        <w:t xml:space="preserve">4.1.5. </w:t>
      </w:r>
      <w:r>
        <w:rPr>
          <w:rFonts w:hint="eastAsia"/>
          <w:lang w:val="en-US" w:eastAsia="zh-CN"/>
        </w:rPr>
        <w:t>软件</w:t>
      </w:r>
      <w:r>
        <w:rPr>
          <w:rFonts w:hint="eastAsia" w:cs="宋体"/>
          <w:lang w:val="en-US" w:eastAsia="zh-CN"/>
        </w:rPr>
        <w:t>结构</w:t>
      </w:r>
      <w:r>
        <w:tab/>
      </w:r>
      <w:r>
        <w:fldChar w:fldCharType="begin"/>
      </w:r>
      <w:r>
        <w:instrText xml:space="preserve"> PAGEREF _Toc8967 \h </w:instrText>
      </w:r>
      <w:r>
        <w:fldChar w:fldCharType="separate"/>
      </w:r>
      <w:r>
        <w:t>23</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_Toc10511 </w:instrText>
      </w:r>
      <w:r>
        <w:rPr>
          <w:szCs w:val="32"/>
        </w:rPr>
        <w:fldChar w:fldCharType="separate"/>
      </w:r>
      <w:r>
        <w:rPr>
          <w:rFonts w:hint="eastAsia" w:ascii="黑体" w:hAnsi="黑体" w:eastAsia="黑体" w:cs="宋体"/>
          <w:bCs w:val="0"/>
          <w:lang w:val="en-US" w:eastAsia="zh-CN"/>
        </w:rPr>
        <w:t xml:space="preserve">4.1.6. </w:t>
      </w:r>
      <w:r>
        <w:rPr>
          <w:rFonts w:hint="eastAsia"/>
          <w:lang w:val="en-US" w:eastAsia="zh-CN"/>
        </w:rPr>
        <w:t>业务</w:t>
      </w:r>
      <w:r>
        <w:rPr>
          <w:rFonts w:hint="eastAsia" w:cs="宋体"/>
          <w:lang w:val="en-US" w:eastAsia="zh-CN"/>
        </w:rPr>
        <w:t>参数设计</w:t>
      </w:r>
      <w:r>
        <w:tab/>
      </w:r>
      <w:r>
        <w:fldChar w:fldCharType="begin"/>
      </w:r>
      <w:r>
        <w:instrText xml:space="preserve"> PAGEREF _Toc10511 \h </w:instrText>
      </w:r>
      <w:r>
        <w:fldChar w:fldCharType="separate"/>
      </w:r>
      <w:r>
        <w:t>25</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_Toc13965 </w:instrText>
      </w:r>
      <w:r>
        <w:rPr>
          <w:szCs w:val="32"/>
        </w:rPr>
        <w:fldChar w:fldCharType="separate"/>
      </w:r>
      <w:r>
        <w:rPr>
          <w:rFonts w:hint="eastAsia" w:cs="宋体"/>
          <w:lang w:val="en-US" w:eastAsia="zh-CN"/>
        </w:rPr>
        <w:t xml:space="preserve">4.2. </w:t>
      </w:r>
      <w:r>
        <w:rPr>
          <w:rFonts w:hint="eastAsia"/>
          <w:lang w:val="en-US" w:eastAsia="zh-CN"/>
        </w:rPr>
        <w:t>系统框架</w:t>
      </w:r>
      <w:r>
        <w:tab/>
      </w:r>
      <w:r>
        <w:fldChar w:fldCharType="begin"/>
      </w:r>
      <w:r>
        <w:instrText xml:space="preserve"> PAGEREF _Toc13965 \h </w:instrText>
      </w:r>
      <w:r>
        <w:fldChar w:fldCharType="separate"/>
      </w:r>
      <w:r>
        <w:t>26</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_Toc29953 </w:instrText>
      </w:r>
      <w:r>
        <w:rPr>
          <w:szCs w:val="32"/>
        </w:rPr>
        <w:fldChar w:fldCharType="separate"/>
      </w:r>
      <w:r>
        <w:rPr>
          <w:rFonts w:hint="eastAsia" w:ascii="黑体" w:hAnsi="黑体" w:eastAsia="黑体"/>
          <w:bCs w:val="0"/>
          <w:lang w:val="en-US" w:eastAsia="zh-CN"/>
        </w:rPr>
        <w:t xml:space="preserve">4.2.1. </w:t>
      </w:r>
      <w:r>
        <w:rPr>
          <w:rFonts w:hint="eastAsia"/>
          <w:lang w:val="en-US" w:eastAsia="zh-CN"/>
        </w:rPr>
        <w:t>网络架构</w:t>
      </w:r>
      <w:r>
        <w:tab/>
      </w:r>
      <w:r>
        <w:fldChar w:fldCharType="begin"/>
      </w:r>
      <w:r>
        <w:instrText xml:space="preserve"> PAGEREF _Toc29953 \h </w:instrText>
      </w:r>
      <w:r>
        <w:fldChar w:fldCharType="separate"/>
      </w:r>
      <w:r>
        <w:t>26</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_Toc29642 </w:instrText>
      </w:r>
      <w:r>
        <w:rPr>
          <w:szCs w:val="32"/>
        </w:rPr>
        <w:fldChar w:fldCharType="separate"/>
      </w:r>
      <w:r>
        <w:rPr>
          <w:rFonts w:hint="eastAsia" w:ascii="黑体" w:hAnsi="黑体" w:eastAsia="黑体"/>
          <w:bCs w:val="0"/>
          <w:lang w:val="en-US" w:eastAsia="zh-CN"/>
        </w:rPr>
        <w:t xml:space="preserve">4.2.2. </w:t>
      </w:r>
      <w:r>
        <w:rPr>
          <w:rFonts w:hint="eastAsia"/>
          <w:lang w:val="en-US" w:eastAsia="zh-CN"/>
        </w:rPr>
        <w:t>系统架构</w:t>
      </w:r>
      <w:r>
        <w:tab/>
      </w:r>
      <w:r>
        <w:fldChar w:fldCharType="begin"/>
      </w:r>
      <w:r>
        <w:instrText xml:space="preserve"> PAGEREF _Toc29642 \h </w:instrText>
      </w:r>
      <w:r>
        <w:fldChar w:fldCharType="separate"/>
      </w:r>
      <w:r>
        <w:t>26</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_Toc15413 </w:instrText>
      </w:r>
      <w:r>
        <w:rPr>
          <w:szCs w:val="32"/>
        </w:rPr>
        <w:fldChar w:fldCharType="separate"/>
      </w:r>
      <w:r>
        <w:rPr>
          <w:rFonts w:hint="eastAsia"/>
        </w:rPr>
        <w:t>4.3. 标准规范制度建设</w:t>
      </w:r>
      <w:r>
        <w:tab/>
      </w:r>
      <w:r>
        <w:fldChar w:fldCharType="begin"/>
      </w:r>
      <w:r>
        <w:instrText xml:space="preserve"> PAGEREF _Toc15413 \h </w:instrText>
      </w:r>
      <w:r>
        <w:fldChar w:fldCharType="separate"/>
      </w:r>
      <w:r>
        <w:t>27</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_Toc31504 </w:instrText>
      </w:r>
      <w:r>
        <w:rPr>
          <w:szCs w:val="32"/>
        </w:rPr>
        <w:fldChar w:fldCharType="separate"/>
      </w:r>
      <w:r>
        <w:rPr>
          <w:rFonts w:hint="eastAsia" w:ascii="黑体" w:hAnsi="黑体" w:eastAsia="黑体"/>
          <w:bCs w:val="0"/>
        </w:rPr>
        <w:t xml:space="preserve">4.3.1. </w:t>
      </w:r>
      <w:r>
        <w:rPr>
          <w:rFonts w:hint="eastAsia"/>
        </w:rPr>
        <w:t>需制定的行业统一技术标准和管理规范</w:t>
      </w:r>
      <w:r>
        <w:tab/>
      </w:r>
      <w:r>
        <w:fldChar w:fldCharType="begin"/>
      </w:r>
      <w:r>
        <w:instrText xml:space="preserve"> PAGEREF _Toc31504 \h </w:instrText>
      </w:r>
      <w:r>
        <w:fldChar w:fldCharType="separate"/>
      </w:r>
      <w:r>
        <w:t>27</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_Toc731 </w:instrText>
      </w:r>
      <w:r>
        <w:rPr>
          <w:szCs w:val="32"/>
        </w:rPr>
        <w:fldChar w:fldCharType="separate"/>
      </w:r>
      <w:r>
        <w:rPr>
          <w:rFonts w:hint="eastAsia" w:ascii="黑体" w:hAnsi="黑体" w:eastAsia="黑体"/>
          <w:bCs w:val="0"/>
        </w:rPr>
        <w:t xml:space="preserve">4.3.2. </w:t>
      </w:r>
      <w:r>
        <w:rPr>
          <w:rFonts w:hint="eastAsia"/>
        </w:rPr>
        <w:t>需遵从的国家信息化标准规范和相关行业标准规范</w:t>
      </w:r>
      <w:r>
        <w:tab/>
      </w:r>
      <w:r>
        <w:fldChar w:fldCharType="begin"/>
      </w:r>
      <w:r>
        <w:instrText xml:space="preserve"> PAGEREF _Toc731 \h </w:instrText>
      </w:r>
      <w:r>
        <w:fldChar w:fldCharType="separate"/>
      </w:r>
      <w:r>
        <w:t>27</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_Toc14418 </w:instrText>
      </w:r>
      <w:r>
        <w:rPr>
          <w:szCs w:val="32"/>
        </w:rPr>
        <w:fldChar w:fldCharType="separate"/>
      </w:r>
      <w:r>
        <w:rPr>
          <w:rFonts w:hint="eastAsia" w:cs="宋体"/>
          <w:lang w:val="en-US" w:eastAsia="zh-CN"/>
        </w:rPr>
        <w:t>4.4. 应用支撑平台和应用系统建设</w:t>
      </w:r>
      <w:r>
        <w:tab/>
      </w:r>
      <w:r>
        <w:fldChar w:fldCharType="begin"/>
      </w:r>
      <w:r>
        <w:instrText xml:space="preserve"> PAGEREF _Toc14418 \h </w:instrText>
      </w:r>
      <w:r>
        <w:fldChar w:fldCharType="separate"/>
      </w:r>
      <w:r>
        <w:t>28</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_Toc9114 </w:instrText>
      </w:r>
      <w:r>
        <w:rPr>
          <w:szCs w:val="32"/>
        </w:rPr>
        <w:fldChar w:fldCharType="separate"/>
      </w:r>
      <w:r>
        <w:rPr>
          <w:rFonts w:hint="eastAsia" w:ascii="黑体" w:hAnsi="黑体" w:eastAsia="黑体" w:cs="宋体"/>
          <w:bCs w:val="0"/>
          <w:lang w:val="en-US" w:eastAsia="zh-CN"/>
        </w:rPr>
        <w:t xml:space="preserve">4.4.1. </w:t>
      </w:r>
      <w:r>
        <w:rPr>
          <w:rFonts w:hint="eastAsia"/>
          <w:lang w:val="en-US" w:eastAsia="zh-CN"/>
        </w:rPr>
        <w:t>农产品展销管理平台主要</w:t>
      </w:r>
      <w:r>
        <w:rPr>
          <w:rFonts w:hint="eastAsia" w:cs="宋体"/>
          <w:lang w:val="en-US" w:eastAsia="zh-CN"/>
        </w:rPr>
        <w:t>功能模块设计</w:t>
      </w:r>
      <w:r>
        <w:tab/>
      </w:r>
      <w:r>
        <w:fldChar w:fldCharType="begin"/>
      </w:r>
      <w:r>
        <w:instrText xml:space="preserve"> PAGEREF _Toc9114 \h </w:instrText>
      </w:r>
      <w:r>
        <w:fldChar w:fldCharType="separate"/>
      </w:r>
      <w:r>
        <w:t>28</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_Toc10286 </w:instrText>
      </w:r>
      <w:r>
        <w:rPr>
          <w:szCs w:val="32"/>
        </w:rPr>
        <w:fldChar w:fldCharType="separate"/>
      </w:r>
      <w:r>
        <w:rPr>
          <w:rFonts w:hint="eastAsia"/>
          <w:lang w:val="en-US" w:eastAsia="zh-CN"/>
        </w:rPr>
        <w:t>4.5. 配套管理建设</w:t>
      </w:r>
      <w:r>
        <w:tab/>
      </w:r>
      <w:r>
        <w:fldChar w:fldCharType="begin"/>
      </w:r>
      <w:r>
        <w:instrText xml:space="preserve"> PAGEREF _Toc10286 \h </w:instrText>
      </w:r>
      <w:r>
        <w:fldChar w:fldCharType="separate"/>
      </w:r>
      <w:r>
        <w:t>52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_Toc19163 </w:instrText>
      </w:r>
      <w:r>
        <w:rPr>
          <w:szCs w:val="32"/>
        </w:rPr>
        <w:fldChar w:fldCharType="separate"/>
      </w:r>
      <w:r>
        <w:rPr>
          <w:rFonts w:hint="eastAsia" w:ascii="黑体" w:hAnsi="黑体" w:eastAsia="黑体"/>
          <w:bCs w:val="0"/>
        </w:rPr>
        <w:t xml:space="preserve">4.5.1. </w:t>
      </w:r>
      <w:r>
        <w:rPr>
          <w:rFonts w:hint="eastAsia"/>
          <w:lang w:val="en-US" w:eastAsia="zh-CN"/>
        </w:rPr>
        <w:t>和平县乡村振兴农产品展销管理平台人员服务</w:t>
      </w:r>
      <w:r>
        <w:tab/>
      </w:r>
      <w:r>
        <w:fldChar w:fldCharType="begin"/>
      </w:r>
      <w:r>
        <w:instrText xml:space="preserve"> PAGEREF _Toc19163 \h </w:instrText>
      </w:r>
      <w:r>
        <w:fldChar w:fldCharType="separate"/>
      </w:r>
      <w:r>
        <w:t>52</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_Toc1673 </w:instrText>
      </w:r>
      <w:r>
        <w:rPr>
          <w:szCs w:val="32"/>
        </w:rPr>
        <w:fldChar w:fldCharType="separate"/>
      </w:r>
      <w:r>
        <w:rPr>
          <w:rFonts w:hint="eastAsia" w:ascii="Times New Roman" w:hAnsi="Times New Roman"/>
        </w:rPr>
        <w:t xml:space="preserve">4.6. </w:t>
      </w:r>
      <w:r>
        <w:rPr>
          <w:rFonts w:hint="eastAsia"/>
          <w:lang w:val="en-US" w:eastAsia="zh-CN"/>
        </w:rPr>
        <w:t>主要软硬件选型原则和软硬件配置清单</w:t>
      </w:r>
      <w:r>
        <w:tab/>
      </w:r>
      <w:r>
        <w:fldChar w:fldCharType="begin"/>
      </w:r>
      <w:r>
        <w:instrText xml:space="preserve"> PAGEREF _Toc1673 \h </w:instrText>
      </w:r>
      <w:r>
        <w:fldChar w:fldCharType="separate"/>
      </w:r>
      <w:r>
        <w:t>54</w:t>
      </w:r>
      <w:r>
        <w:fldChar w:fldCharType="end"/>
      </w:r>
      <w:r>
        <w:rPr>
          <w:color w:val="000000" w:themeColor="text1"/>
          <w:szCs w:val="32"/>
          <w14:textFill>
            <w14:solidFill>
              <w14:schemeClr w14:val="tx1"/>
            </w14:solidFill>
          </w14:textFill>
        </w:rPr>
        <w:fldChar w:fldCharType="end"/>
      </w:r>
    </w:p>
    <w:p>
      <w:pPr>
        <w:pStyle w:val="27"/>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_Toc2444 </w:instrText>
      </w:r>
      <w:r>
        <w:rPr>
          <w:szCs w:val="32"/>
        </w:rPr>
        <w:fldChar w:fldCharType="separate"/>
      </w:r>
      <w:r>
        <w:rPr>
          <w:rFonts w:hint="eastAsia" w:ascii="Times New Roman" w:hAnsi="Times New Roman"/>
          <w:szCs w:val="32"/>
        </w:rPr>
        <w:t>第5章 项目本期数据资源</w:t>
      </w:r>
      <w:r>
        <w:tab/>
      </w:r>
      <w:r>
        <w:fldChar w:fldCharType="begin"/>
      </w:r>
      <w:r>
        <w:instrText xml:space="preserve"> PAGEREF _Toc2444 \h </w:instrText>
      </w:r>
      <w:r>
        <w:fldChar w:fldCharType="separate"/>
      </w:r>
      <w:r>
        <w:t>59</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_Toc15055 </w:instrText>
      </w:r>
      <w:r>
        <w:rPr>
          <w:szCs w:val="32"/>
        </w:rPr>
        <w:fldChar w:fldCharType="separate"/>
      </w:r>
      <w:r>
        <w:rPr>
          <w:rFonts w:hint="eastAsia"/>
        </w:rPr>
        <w:t>5.1. 项目本期数据资源采集需求</w:t>
      </w:r>
      <w:r>
        <w:tab/>
      </w:r>
      <w:r>
        <w:fldChar w:fldCharType="begin"/>
      </w:r>
      <w:r>
        <w:instrText xml:space="preserve"> PAGEREF _Toc15055 \h </w:instrText>
      </w:r>
      <w:r>
        <w:fldChar w:fldCharType="separate"/>
      </w:r>
      <w:r>
        <w:t>59</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_Toc8915 </w:instrText>
      </w:r>
      <w:r>
        <w:rPr>
          <w:szCs w:val="32"/>
        </w:rPr>
        <w:fldChar w:fldCharType="separate"/>
      </w:r>
      <w:r>
        <w:rPr>
          <w:rFonts w:hint="eastAsia"/>
        </w:rPr>
        <w:t>5.2. 项目本期形成的数据资源目录</w:t>
      </w:r>
      <w:r>
        <w:tab/>
      </w:r>
      <w:r>
        <w:fldChar w:fldCharType="begin"/>
      </w:r>
      <w:r>
        <w:instrText xml:space="preserve"> PAGEREF _Toc8915 \h </w:instrText>
      </w:r>
      <w:r>
        <w:fldChar w:fldCharType="separate"/>
      </w:r>
      <w:r>
        <w:t>59</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_Toc14154 </w:instrText>
      </w:r>
      <w:r>
        <w:rPr>
          <w:szCs w:val="32"/>
        </w:rPr>
        <w:fldChar w:fldCharType="separate"/>
      </w:r>
      <w:r>
        <w:rPr>
          <w:rFonts w:hint="eastAsia"/>
        </w:rPr>
        <w:t>5.3. 非共享数据资源及其依据</w:t>
      </w:r>
      <w:r>
        <w:tab/>
      </w:r>
      <w:r>
        <w:fldChar w:fldCharType="begin"/>
      </w:r>
      <w:r>
        <w:instrText xml:space="preserve"> PAGEREF _Toc14154 \h </w:instrText>
      </w:r>
      <w:r>
        <w:fldChar w:fldCharType="separate"/>
      </w:r>
      <w:r>
        <w:t>60</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_Toc5262 </w:instrText>
      </w:r>
      <w:r>
        <w:rPr>
          <w:szCs w:val="32"/>
        </w:rPr>
        <w:fldChar w:fldCharType="separate"/>
      </w:r>
      <w:r>
        <w:rPr>
          <w:rFonts w:hint="eastAsia"/>
          <w:lang w:val="zh-CN"/>
        </w:rPr>
        <w:t>5.4. 数据资源管理核查表</w:t>
      </w:r>
      <w:r>
        <w:tab/>
      </w:r>
      <w:r>
        <w:fldChar w:fldCharType="begin"/>
      </w:r>
      <w:r>
        <w:instrText xml:space="preserve"> PAGEREF _Toc5262 \h </w:instrText>
      </w:r>
      <w:r>
        <w:fldChar w:fldCharType="separate"/>
      </w:r>
      <w:r>
        <w:t>60</w:t>
      </w:r>
      <w:r>
        <w:fldChar w:fldCharType="end"/>
      </w:r>
      <w:r>
        <w:rPr>
          <w:color w:val="000000" w:themeColor="text1"/>
          <w:szCs w:val="32"/>
          <w14:textFill>
            <w14:solidFill>
              <w14:schemeClr w14:val="tx1"/>
            </w14:solidFill>
          </w14:textFill>
        </w:rPr>
        <w:fldChar w:fldCharType="end"/>
      </w:r>
    </w:p>
    <w:p>
      <w:pPr>
        <w:pStyle w:val="27"/>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_Toc27703 </w:instrText>
      </w:r>
      <w:r>
        <w:rPr>
          <w:szCs w:val="32"/>
        </w:rPr>
        <w:fldChar w:fldCharType="separate"/>
      </w:r>
      <w:r>
        <w:rPr>
          <w:rFonts w:hint="eastAsia" w:ascii="Times New Roman" w:hAnsi="Times New Roman"/>
          <w:szCs w:val="32"/>
        </w:rPr>
        <w:t>第6章 系统安全设计</w:t>
      </w:r>
      <w:r>
        <w:tab/>
      </w:r>
      <w:r>
        <w:fldChar w:fldCharType="begin"/>
      </w:r>
      <w:r>
        <w:instrText xml:space="preserve"> PAGEREF _Toc27703 \h </w:instrText>
      </w:r>
      <w:r>
        <w:fldChar w:fldCharType="separate"/>
      </w:r>
      <w:r>
        <w:t>62</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_Toc6288 </w:instrText>
      </w:r>
      <w:r>
        <w:rPr>
          <w:szCs w:val="32"/>
        </w:rPr>
        <w:fldChar w:fldCharType="separate"/>
      </w:r>
      <w:r>
        <w:rPr>
          <w:rFonts w:hint="eastAsia"/>
        </w:rPr>
        <w:t>6.1. 信息系统安全等级定级</w:t>
      </w:r>
      <w:r>
        <w:tab/>
      </w:r>
      <w:r>
        <w:fldChar w:fldCharType="begin"/>
      </w:r>
      <w:r>
        <w:instrText xml:space="preserve"> PAGEREF _Toc6288 \h </w:instrText>
      </w:r>
      <w:r>
        <w:fldChar w:fldCharType="separate"/>
      </w:r>
      <w:r>
        <w:t>62</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_Toc13439 </w:instrText>
      </w:r>
      <w:r>
        <w:rPr>
          <w:szCs w:val="32"/>
        </w:rPr>
        <w:fldChar w:fldCharType="separate"/>
      </w:r>
      <w:r>
        <w:rPr>
          <w:rFonts w:hint="eastAsia"/>
        </w:rPr>
        <w:t>6.2. 信息系统安全技术方案</w:t>
      </w:r>
      <w:r>
        <w:tab/>
      </w:r>
      <w:r>
        <w:fldChar w:fldCharType="begin"/>
      </w:r>
      <w:r>
        <w:instrText xml:space="preserve"> PAGEREF _Toc13439 \h </w:instrText>
      </w:r>
      <w:r>
        <w:fldChar w:fldCharType="separate"/>
      </w:r>
      <w:r>
        <w:t>62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_Toc3315 </w:instrText>
      </w:r>
      <w:r>
        <w:rPr>
          <w:szCs w:val="32"/>
        </w:rPr>
        <w:fldChar w:fldCharType="separate"/>
      </w:r>
      <w:r>
        <w:rPr>
          <w:rFonts w:hint="eastAsia" w:ascii="黑体" w:hAnsi="黑体" w:eastAsia="黑体"/>
          <w:bCs w:val="0"/>
        </w:rPr>
        <w:t xml:space="preserve">6.2.1. </w:t>
      </w:r>
      <w:r>
        <w:rPr>
          <w:rFonts w:hint="eastAsia"/>
        </w:rPr>
        <w:t>物理安全</w:t>
      </w:r>
      <w:r>
        <w:tab/>
      </w:r>
      <w:r>
        <w:fldChar w:fldCharType="begin"/>
      </w:r>
      <w:r>
        <w:instrText xml:space="preserve"> PAGEREF _Toc3315 \h </w:instrText>
      </w:r>
      <w:r>
        <w:fldChar w:fldCharType="separate"/>
      </w:r>
      <w:r>
        <w:t>62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_Toc4416 </w:instrText>
      </w:r>
      <w:r>
        <w:rPr>
          <w:szCs w:val="32"/>
        </w:rPr>
        <w:fldChar w:fldCharType="separate"/>
      </w:r>
      <w:r>
        <w:rPr>
          <w:rFonts w:hint="eastAsia" w:ascii="黑体" w:hAnsi="黑体" w:eastAsia="黑体"/>
          <w:bCs w:val="0"/>
        </w:rPr>
        <w:t xml:space="preserve">6.2.2. </w:t>
      </w:r>
      <w:r>
        <w:rPr>
          <w:rFonts w:hint="eastAsia"/>
        </w:rPr>
        <w:t>网络安全</w:t>
      </w:r>
      <w:r>
        <w:tab/>
      </w:r>
      <w:r>
        <w:fldChar w:fldCharType="begin"/>
      </w:r>
      <w:r>
        <w:instrText xml:space="preserve"> PAGEREF _Toc4416 \h </w:instrText>
      </w:r>
      <w:r>
        <w:fldChar w:fldCharType="separate"/>
      </w:r>
      <w:r>
        <w:t>62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_Toc25611 </w:instrText>
      </w:r>
      <w:r>
        <w:rPr>
          <w:szCs w:val="32"/>
        </w:rPr>
        <w:fldChar w:fldCharType="separate"/>
      </w:r>
      <w:r>
        <w:rPr>
          <w:rFonts w:hint="eastAsia" w:ascii="黑体" w:hAnsi="黑体" w:eastAsia="黑体"/>
          <w:bCs w:val="0"/>
        </w:rPr>
        <w:t xml:space="preserve">6.2.3. </w:t>
      </w:r>
      <w:r>
        <w:rPr>
          <w:rFonts w:hint="eastAsia"/>
        </w:rPr>
        <w:t>主机安全</w:t>
      </w:r>
      <w:r>
        <w:tab/>
      </w:r>
      <w:r>
        <w:fldChar w:fldCharType="begin"/>
      </w:r>
      <w:r>
        <w:instrText xml:space="preserve"> PAGEREF _Toc25611 \h </w:instrText>
      </w:r>
      <w:r>
        <w:fldChar w:fldCharType="separate"/>
      </w:r>
      <w:r>
        <w:t>62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_Toc29318 </w:instrText>
      </w:r>
      <w:r>
        <w:rPr>
          <w:szCs w:val="32"/>
        </w:rPr>
        <w:fldChar w:fldCharType="separate"/>
      </w:r>
      <w:r>
        <w:rPr>
          <w:rFonts w:hint="eastAsia" w:ascii="黑体" w:hAnsi="黑体" w:eastAsia="黑体"/>
          <w:bCs w:val="0"/>
        </w:rPr>
        <w:t xml:space="preserve">6.2.4. </w:t>
      </w:r>
      <w:r>
        <w:rPr>
          <w:rFonts w:hint="eastAsia"/>
        </w:rPr>
        <w:t>应用安全</w:t>
      </w:r>
      <w:r>
        <w:tab/>
      </w:r>
      <w:r>
        <w:fldChar w:fldCharType="begin"/>
      </w:r>
      <w:r>
        <w:instrText xml:space="preserve"> PAGEREF _Toc29318 \h </w:instrText>
      </w:r>
      <w:r>
        <w:fldChar w:fldCharType="separate"/>
      </w:r>
      <w:r>
        <w:t>63</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_Toc172 </w:instrText>
      </w:r>
      <w:r>
        <w:rPr>
          <w:szCs w:val="32"/>
        </w:rPr>
        <w:fldChar w:fldCharType="separate"/>
      </w:r>
      <w:r>
        <w:rPr>
          <w:rFonts w:hint="eastAsia" w:ascii="黑体" w:hAnsi="黑体" w:eastAsia="黑体"/>
          <w:bCs w:val="0"/>
        </w:rPr>
        <w:t xml:space="preserve">6.2.5. </w:t>
      </w:r>
      <w:r>
        <w:rPr>
          <w:rFonts w:hint="eastAsia"/>
        </w:rPr>
        <w:t>数据安全</w:t>
      </w:r>
      <w:r>
        <w:tab/>
      </w:r>
      <w:r>
        <w:fldChar w:fldCharType="begin"/>
      </w:r>
      <w:r>
        <w:instrText xml:space="preserve"> PAGEREF _Toc172 \h </w:instrText>
      </w:r>
      <w:r>
        <w:fldChar w:fldCharType="separate"/>
      </w:r>
      <w:r>
        <w:t>63</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_Toc32486 </w:instrText>
      </w:r>
      <w:r>
        <w:rPr>
          <w:szCs w:val="32"/>
        </w:rPr>
        <w:fldChar w:fldCharType="separate"/>
      </w:r>
      <w:r>
        <w:rPr>
          <w:rFonts w:hint="eastAsia"/>
        </w:rPr>
        <w:t>6.3. 信息系统安全管理方案</w:t>
      </w:r>
      <w:r>
        <w:tab/>
      </w:r>
      <w:r>
        <w:fldChar w:fldCharType="begin"/>
      </w:r>
      <w:r>
        <w:instrText xml:space="preserve"> PAGEREF _Toc32486 \h </w:instrText>
      </w:r>
      <w:r>
        <w:fldChar w:fldCharType="separate"/>
      </w:r>
      <w:r>
        <w:t>63</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_Toc18915 </w:instrText>
      </w:r>
      <w:r>
        <w:rPr>
          <w:szCs w:val="32"/>
        </w:rPr>
        <w:fldChar w:fldCharType="separate"/>
      </w:r>
      <w:r>
        <w:rPr>
          <w:rFonts w:hint="eastAsia" w:ascii="黑体" w:hAnsi="黑体" w:eastAsia="黑体"/>
          <w:bCs w:val="0"/>
        </w:rPr>
        <w:t xml:space="preserve">6.3.1. </w:t>
      </w:r>
      <w:r>
        <w:rPr>
          <w:rFonts w:hint="eastAsia"/>
        </w:rPr>
        <w:t>安全管理制度</w:t>
      </w:r>
      <w:r>
        <w:tab/>
      </w:r>
      <w:r>
        <w:fldChar w:fldCharType="begin"/>
      </w:r>
      <w:r>
        <w:instrText xml:space="preserve"> PAGEREF _Toc18915 \h </w:instrText>
      </w:r>
      <w:r>
        <w:fldChar w:fldCharType="separate"/>
      </w:r>
      <w:r>
        <w:t>63</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_Toc6362 </w:instrText>
      </w:r>
      <w:r>
        <w:rPr>
          <w:szCs w:val="32"/>
        </w:rPr>
        <w:fldChar w:fldCharType="separate"/>
      </w:r>
      <w:r>
        <w:rPr>
          <w:rFonts w:hint="eastAsia" w:ascii="黑体" w:hAnsi="黑体" w:eastAsia="黑体"/>
          <w:bCs w:val="0"/>
        </w:rPr>
        <w:t xml:space="preserve">6.3.2. </w:t>
      </w:r>
      <w:r>
        <w:rPr>
          <w:rFonts w:hint="eastAsia"/>
        </w:rPr>
        <w:t>安全管理机构</w:t>
      </w:r>
      <w:r>
        <w:tab/>
      </w:r>
      <w:r>
        <w:fldChar w:fldCharType="begin"/>
      </w:r>
      <w:r>
        <w:instrText xml:space="preserve"> PAGEREF _Toc6362 \h </w:instrText>
      </w:r>
      <w:r>
        <w:fldChar w:fldCharType="separate"/>
      </w:r>
      <w:r>
        <w:t>64</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_Toc22879 </w:instrText>
      </w:r>
      <w:r>
        <w:rPr>
          <w:szCs w:val="32"/>
        </w:rPr>
        <w:fldChar w:fldCharType="separate"/>
      </w:r>
      <w:r>
        <w:rPr>
          <w:rFonts w:hint="eastAsia" w:ascii="黑体" w:hAnsi="黑体" w:eastAsia="黑体"/>
          <w:bCs w:val="0"/>
        </w:rPr>
        <w:t xml:space="preserve">6.3.3. </w:t>
      </w:r>
      <w:r>
        <w:rPr>
          <w:rFonts w:hint="eastAsia"/>
        </w:rPr>
        <w:t>人员安全管理</w:t>
      </w:r>
      <w:r>
        <w:tab/>
      </w:r>
      <w:r>
        <w:fldChar w:fldCharType="begin"/>
      </w:r>
      <w:r>
        <w:instrText xml:space="preserve"> PAGEREF _Toc22879 \h </w:instrText>
      </w:r>
      <w:r>
        <w:fldChar w:fldCharType="separate"/>
      </w:r>
      <w:r>
        <w:t>64</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_Toc6153 </w:instrText>
      </w:r>
      <w:r>
        <w:rPr>
          <w:szCs w:val="32"/>
        </w:rPr>
        <w:fldChar w:fldCharType="separate"/>
      </w:r>
      <w:r>
        <w:rPr>
          <w:rFonts w:hint="eastAsia" w:ascii="黑体" w:hAnsi="黑体" w:eastAsia="黑体"/>
          <w:bCs w:val="0"/>
        </w:rPr>
        <w:t xml:space="preserve">6.3.4. </w:t>
      </w:r>
      <w:r>
        <w:rPr>
          <w:rFonts w:hint="eastAsia"/>
        </w:rPr>
        <w:t>系统建设管理</w:t>
      </w:r>
      <w:r>
        <w:tab/>
      </w:r>
      <w:r>
        <w:fldChar w:fldCharType="begin"/>
      </w:r>
      <w:r>
        <w:instrText xml:space="preserve"> PAGEREF _Toc6153 \h </w:instrText>
      </w:r>
      <w:r>
        <w:fldChar w:fldCharType="separate"/>
      </w:r>
      <w:r>
        <w:t>64</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_Toc523 </w:instrText>
      </w:r>
      <w:r>
        <w:rPr>
          <w:szCs w:val="32"/>
        </w:rPr>
        <w:fldChar w:fldCharType="separate"/>
      </w:r>
      <w:r>
        <w:rPr>
          <w:rFonts w:hint="eastAsia" w:ascii="黑体" w:hAnsi="黑体" w:eastAsia="黑体"/>
          <w:bCs w:val="0"/>
        </w:rPr>
        <w:t xml:space="preserve">6.3.5. </w:t>
      </w:r>
      <w:r>
        <w:rPr>
          <w:rFonts w:hint="eastAsia"/>
        </w:rPr>
        <w:t>系统运维管理</w:t>
      </w:r>
      <w:r>
        <w:tab/>
      </w:r>
      <w:r>
        <w:fldChar w:fldCharType="begin"/>
      </w:r>
      <w:r>
        <w:instrText xml:space="preserve"> PAGEREF _Toc523 \h </w:instrText>
      </w:r>
      <w:r>
        <w:fldChar w:fldCharType="separate"/>
      </w:r>
      <w:r>
        <w:t>64</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_Toc7663 </w:instrText>
      </w:r>
      <w:r>
        <w:rPr>
          <w:szCs w:val="32"/>
        </w:rPr>
        <w:fldChar w:fldCharType="separate"/>
      </w:r>
      <w:r>
        <w:rPr>
          <w:rFonts w:hint="eastAsia"/>
        </w:rPr>
        <w:t>6.4. 安全服务</w:t>
      </w:r>
      <w:r>
        <w:tab/>
      </w:r>
      <w:r>
        <w:fldChar w:fldCharType="begin"/>
      </w:r>
      <w:r>
        <w:instrText xml:space="preserve"> PAGEREF _Toc7663 \h </w:instrText>
      </w:r>
      <w:r>
        <w:fldChar w:fldCharType="separate"/>
      </w:r>
      <w:r>
        <w:t>65</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_Toc6329 </w:instrText>
      </w:r>
      <w:r>
        <w:rPr>
          <w:szCs w:val="32"/>
        </w:rPr>
        <w:fldChar w:fldCharType="separate"/>
      </w:r>
      <w:r>
        <w:rPr>
          <w:rFonts w:hint="eastAsia" w:ascii="黑体" w:hAnsi="黑体" w:eastAsia="黑体"/>
          <w:bCs w:val="0"/>
        </w:rPr>
        <w:t xml:space="preserve">6.4.1. </w:t>
      </w:r>
      <w:r>
        <w:rPr>
          <w:rFonts w:hint="eastAsia"/>
        </w:rPr>
        <w:t>建立应用安全管理保障体系</w:t>
      </w:r>
      <w:r>
        <w:tab/>
      </w:r>
      <w:r>
        <w:fldChar w:fldCharType="begin"/>
      </w:r>
      <w:r>
        <w:instrText xml:space="preserve"> PAGEREF _Toc6329 \h </w:instrText>
      </w:r>
      <w:r>
        <w:fldChar w:fldCharType="separate"/>
      </w:r>
      <w:r>
        <w:t>65</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_Toc26735 </w:instrText>
      </w:r>
      <w:r>
        <w:rPr>
          <w:szCs w:val="32"/>
        </w:rPr>
        <w:fldChar w:fldCharType="separate"/>
      </w:r>
      <w:r>
        <w:rPr>
          <w:rFonts w:hint="eastAsia" w:ascii="黑体" w:hAnsi="黑体" w:eastAsia="黑体"/>
          <w:bCs w:val="0"/>
        </w:rPr>
        <w:t xml:space="preserve">6.4.2. </w:t>
      </w:r>
      <w:r>
        <w:rPr>
          <w:rFonts w:hint="eastAsia"/>
        </w:rPr>
        <w:t>信息安全防御系统</w:t>
      </w:r>
      <w:r>
        <w:tab/>
      </w:r>
      <w:r>
        <w:fldChar w:fldCharType="begin"/>
      </w:r>
      <w:r>
        <w:instrText xml:space="preserve"> PAGEREF _Toc26735 \h </w:instrText>
      </w:r>
      <w:r>
        <w:fldChar w:fldCharType="separate"/>
      </w:r>
      <w:r>
        <w:t>66</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_Toc30400 </w:instrText>
      </w:r>
      <w:r>
        <w:rPr>
          <w:szCs w:val="32"/>
        </w:rPr>
        <w:fldChar w:fldCharType="separate"/>
      </w:r>
      <w:r>
        <w:rPr>
          <w:rFonts w:hint="eastAsia" w:ascii="黑体" w:hAnsi="黑体" w:eastAsia="黑体"/>
          <w:bCs w:val="0"/>
        </w:rPr>
        <w:t xml:space="preserve">6.4.3. </w:t>
      </w:r>
      <w:r>
        <w:rPr>
          <w:rFonts w:hint="eastAsia"/>
        </w:rPr>
        <w:t>应用级安全保密措施</w:t>
      </w:r>
      <w:r>
        <w:tab/>
      </w:r>
      <w:r>
        <w:fldChar w:fldCharType="begin"/>
      </w:r>
      <w:r>
        <w:instrText xml:space="preserve"> PAGEREF _Toc30400 \h </w:instrText>
      </w:r>
      <w:r>
        <w:fldChar w:fldCharType="separate"/>
      </w:r>
      <w:r>
        <w:t>68</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_Toc23133 </w:instrText>
      </w:r>
      <w:r>
        <w:rPr>
          <w:szCs w:val="32"/>
        </w:rPr>
        <w:fldChar w:fldCharType="separate"/>
      </w:r>
      <w:r>
        <w:rPr>
          <w:rFonts w:hint="eastAsia" w:ascii="黑体" w:hAnsi="黑体" w:eastAsia="黑体"/>
          <w:bCs w:val="0"/>
        </w:rPr>
        <w:t xml:space="preserve">6.4.4. </w:t>
      </w:r>
      <w:r>
        <w:rPr>
          <w:rFonts w:hint="eastAsia"/>
        </w:rPr>
        <w:t>用户级安全保密措施</w:t>
      </w:r>
      <w:r>
        <w:tab/>
      </w:r>
      <w:r>
        <w:fldChar w:fldCharType="begin"/>
      </w:r>
      <w:r>
        <w:instrText xml:space="preserve"> PAGEREF _Toc23133 \h </w:instrText>
      </w:r>
      <w:r>
        <w:fldChar w:fldCharType="separate"/>
      </w:r>
      <w:r>
        <w:t>69</w:t>
      </w:r>
      <w:r>
        <w:fldChar w:fldCharType="end"/>
      </w:r>
      <w:r>
        <w:rPr>
          <w:color w:val="000000" w:themeColor="text1"/>
          <w:szCs w:val="32"/>
          <w14:textFill>
            <w14:solidFill>
              <w14:schemeClr w14:val="tx1"/>
            </w14:solidFill>
          </w14:textFill>
        </w:rPr>
        <w:fldChar w:fldCharType="end"/>
      </w:r>
    </w:p>
    <w:p>
      <w:pPr>
        <w:pStyle w:val="27"/>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_Toc12036 </w:instrText>
      </w:r>
      <w:r>
        <w:rPr>
          <w:szCs w:val="32"/>
        </w:rPr>
        <w:fldChar w:fldCharType="separate"/>
      </w:r>
      <w:r>
        <w:rPr>
          <w:rFonts w:hint="eastAsia" w:ascii="Times New Roman" w:hAnsi="Times New Roman"/>
          <w:szCs w:val="32"/>
        </w:rPr>
        <w:t>第7章 项目管理</w:t>
      </w:r>
      <w:r>
        <w:tab/>
      </w:r>
      <w:r>
        <w:fldChar w:fldCharType="begin"/>
      </w:r>
      <w:r>
        <w:instrText xml:space="preserve"> PAGEREF _Toc12036 \h </w:instrText>
      </w:r>
      <w:r>
        <w:fldChar w:fldCharType="separate"/>
      </w:r>
      <w:r>
        <w:t>71</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_Toc28937 </w:instrText>
      </w:r>
      <w:r>
        <w:rPr>
          <w:szCs w:val="32"/>
        </w:rPr>
        <w:fldChar w:fldCharType="separate"/>
      </w:r>
      <w:r>
        <w:rPr>
          <w:rFonts w:hint="eastAsia" w:eastAsiaTheme="majorEastAsia"/>
        </w:rPr>
        <w:t xml:space="preserve">7.1. </w:t>
      </w:r>
      <w:r>
        <w:rPr>
          <w:rFonts w:hint="eastAsia"/>
        </w:rPr>
        <w:t>项目实施进度</w:t>
      </w:r>
      <w:r>
        <w:tab/>
      </w:r>
      <w:r>
        <w:fldChar w:fldCharType="begin"/>
      </w:r>
      <w:r>
        <w:instrText xml:space="preserve"> PAGEREF _Toc28937 \h </w:instrText>
      </w:r>
      <w:r>
        <w:fldChar w:fldCharType="separate"/>
      </w:r>
      <w:r>
        <w:t>71</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_Toc28607 </w:instrText>
      </w:r>
      <w:r>
        <w:rPr>
          <w:szCs w:val="32"/>
        </w:rPr>
        <w:fldChar w:fldCharType="separate"/>
      </w:r>
      <w:r>
        <w:rPr>
          <w:rFonts w:hint="eastAsia" w:ascii="黑体" w:hAnsi="黑体" w:eastAsia="黑体"/>
          <w:bCs w:val="0"/>
          <w:lang w:val="en-US" w:eastAsia="zh-CN"/>
        </w:rPr>
        <w:t xml:space="preserve">7.1.1. </w:t>
      </w:r>
      <w:r>
        <w:rPr>
          <w:rFonts w:hint="eastAsia"/>
          <w:lang w:val="en-US" w:eastAsia="zh-CN"/>
        </w:rPr>
        <w:t>项目周期</w:t>
      </w:r>
      <w:r>
        <w:tab/>
      </w:r>
      <w:r>
        <w:fldChar w:fldCharType="begin"/>
      </w:r>
      <w:r>
        <w:instrText xml:space="preserve"> PAGEREF _Toc28607 \h </w:instrText>
      </w:r>
      <w:r>
        <w:fldChar w:fldCharType="separate"/>
      </w:r>
      <w:r>
        <w:t>71</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_Toc22337 </w:instrText>
      </w:r>
      <w:r>
        <w:rPr>
          <w:szCs w:val="32"/>
        </w:rPr>
        <w:fldChar w:fldCharType="separate"/>
      </w:r>
      <w:r>
        <w:rPr>
          <w:rFonts w:hint="eastAsia" w:ascii="黑体" w:hAnsi="黑体" w:eastAsia="黑体"/>
          <w:bCs w:val="0"/>
          <w:lang w:val="en-US" w:eastAsia="zh-CN"/>
        </w:rPr>
        <w:t xml:space="preserve">7.1.2. </w:t>
      </w:r>
      <w:r>
        <w:rPr>
          <w:rFonts w:hint="eastAsia"/>
          <w:lang w:val="en-US" w:eastAsia="zh-CN"/>
        </w:rPr>
        <w:t>进度计划</w:t>
      </w:r>
      <w:r>
        <w:tab/>
      </w:r>
      <w:r>
        <w:fldChar w:fldCharType="begin"/>
      </w:r>
      <w:r>
        <w:instrText xml:space="preserve"> PAGEREF _Toc22337 \h </w:instrText>
      </w:r>
      <w:r>
        <w:fldChar w:fldCharType="separate"/>
      </w:r>
      <w:r>
        <w:t>71</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_Toc8188 </w:instrText>
      </w:r>
      <w:r>
        <w:rPr>
          <w:szCs w:val="32"/>
        </w:rPr>
        <w:fldChar w:fldCharType="separate"/>
      </w:r>
      <w:r>
        <w:rPr>
          <w:rFonts w:hint="eastAsia"/>
        </w:rPr>
        <w:t>7.2. 项目管理团队建设及责任分工</w:t>
      </w:r>
      <w:r>
        <w:tab/>
      </w:r>
      <w:r>
        <w:fldChar w:fldCharType="begin"/>
      </w:r>
      <w:r>
        <w:instrText xml:space="preserve"> PAGEREF _Toc8188 \h </w:instrText>
      </w:r>
      <w:r>
        <w:fldChar w:fldCharType="separate"/>
      </w:r>
      <w:r>
        <w:t>71</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_Toc2423 </w:instrText>
      </w:r>
      <w:r>
        <w:rPr>
          <w:szCs w:val="32"/>
        </w:rPr>
        <w:fldChar w:fldCharType="separate"/>
      </w:r>
      <w:r>
        <w:rPr>
          <w:rFonts w:hint="eastAsia" w:ascii="黑体" w:hAnsi="黑体" w:eastAsia="黑体" w:cs="宋体"/>
          <w:bCs w:val="0"/>
          <w:lang w:val="en-US" w:eastAsia="zh-CN"/>
        </w:rPr>
        <w:t xml:space="preserve">7.2.1. </w:t>
      </w:r>
      <w:r>
        <w:rPr>
          <w:rFonts w:hint="eastAsia" w:cs="宋体"/>
          <w:lang w:val="en-US" w:eastAsia="zh-CN"/>
        </w:rPr>
        <w:t>项目管理的组织机构设计</w:t>
      </w:r>
      <w:r>
        <w:tab/>
      </w:r>
      <w:r>
        <w:fldChar w:fldCharType="begin"/>
      </w:r>
      <w:r>
        <w:instrText xml:space="preserve"> PAGEREF _Toc2423 \h </w:instrText>
      </w:r>
      <w:r>
        <w:fldChar w:fldCharType="separate"/>
      </w:r>
      <w:r>
        <w:t>71</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_Toc32180 </w:instrText>
      </w:r>
      <w:r>
        <w:rPr>
          <w:szCs w:val="32"/>
        </w:rPr>
        <w:fldChar w:fldCharType="separate"/>
      </w:r>
      <w:r>
        <w:rPr>
          <w:rFonts w:hint="eastAsia" w:ascii="黑体" w:hAnsi="黑体" w:eastAsia="黑体" w:cs="宋体"/>
          <w:bCs w:val="0"/>
          <w:lang w:val="en-US" w:eastAsia="zh-CN"/>
        </w:rPr>
        <w:t xml:space="preserve">7.2.2. </w:t>
      </w:r>
      <w:r>
        <w:rPr>
          <w:rFonts w:hint="eastAsia" w:cs="宋体"/>
          <w:lang w:val="en-US" w:eastAsia="zh-CN"/>
        </w:rPr>
        <w:t>项目的领导机构</w:t>
      </w:r>
      <w:r>
        <w:tab/>
      </w:r>
      <w:r>
        <w:fldChar w:fldCharType="begin"/>
      </w:r>
      <w:r>
        <w:instrText xml:space="preserve"> PAGEREF _Toc32180 \h </w:instrText>
      </w:r>
      <w:r>
        <w:fldChar w:fldCharType="separate"/>
      </w:r>
      <w:r>
        <w:t>72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_Toc23520 </w:instrText>
      </w:r>
      <w:r>
        <w:rPr>
          <w:szCs w:val="32"/>
        </w:rPr>
        <w:fldChar w:fldCharType="separate"/>
      </w:r>
      <w:r>
        <w:rPr>
          <w:rFonts w:hint="eastAsia" w:ascii="黑体" w:hAnsi="黑体" w:eastAsia="黑体" w:cs="宋体"/>
          <w:bCs w:val="0"/>
          <w:lang w:val="en-US" w:eastAsia="zh-CN"/>
        </w:rPr>
        <w:t xml:space="preserve">7.2.3. </w:t>
      </w:r>
      <w:r>
        <w:rPr>
          <w:rFonts w:hint="eastAsia" w:cs="宋体"/>
          <w:lang w:val="en-US" w:eastAsia="zh-CN"/>
        </w:rPr>
        <w:t>项目实施机构</w:t>
      </w:r>
      <w:r>
        <w:tab/>
      </w:r>
      <w:r>
        <w:fldChar w:fldCharType="begin"/>
      </w:r>
      <w:r>
        <w:instrText xml:space="preserve"> PAGEREF _Toc23520 \h </w:instrText>
      </w:r>
      <w:r>
        <w:fldChar w:fldCharType="separate"/>
      </w:r>
      <w:r>
        <w:t>72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_Toc27102 </w:instrText>
      </w:r>
      <w:r>
        <w:rPr>
          <w:szCs w:val="32"/>
        </w:rPr>
        <w:fldChar w:fldCharType="separate"/>
      </w:r>
      <w:r>
        <w:rPr>
          <w:rFonts w:hint="eastAsia" w:ascii="黑体" w:hAnsi="黑体" w:eastAsia="黑体" w:cs="宋体"/>
          <w:bCs w:val="0"/>
          <w:lang w:val="en-US" w:eastAsia="zh-CN"/>
        </w:rPr>
        <w:t xml:space="preserve">7.2.4. </w:t>
      </w:r>
      <w:r>
        <w:rPr>
          <w:rFonts w:hint="eastAsia" w:cs="宋体"/>
          <w:lang w:val="en-US" w:eastAsia="zh-CN"/>
        </w:rPr>
        <w:t>运行维护机构</w:t>
      </w:r>
      <w:r>
        <w:tab/>
      </w:r>
      <w:r>
        <w:fldChar w:fldCharType="begin"/>
      </w:r>
      <w:r>
        <w:instrText xml:space="preserve"> PAGEREF _Toc27102 \h </w:instrText>
      </w:r>
      <w:r>
        <w:fldChar w:fldCharType="separate"/>
      </w:r>
      <w:r>
        <w:t>73</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_Toc31437 </w:instrText>
      </w:r>
      <w:r>
        <w:rPr>
          <w:szCs w:val="32"/>
        </w:rPr>
        <w:fldChar w:fldCharType="separate"/>
      </w:r>
      <w:r>
        <w:rPr>
          <w:rFonts w:hint="eastAsia"/>
          <w:lang w:val="en-US" w:eastAsia="zh-CN"/>
        </w:rPr>
        <w:t>7.3. 项目验收</w:t>
      </w:r>
      <w:r>
        <w:tab/>
      </w:r>
      <w:r>
        <w:fldChar w:fldCharType="begin"/>
      </w:r>
      <w:r>
        <w:instrText xml:space="preserve"> PAGEREF _Toc31437 \h </w:instrText>
      </w:r>
      <w:r>
        <w:fldChar w:fldCharType="separate"/>
      </w:r>
      <w:r>
        <w:t>73</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_Toc14837 </w:instrText>
      </w:r>
      <w:r>
        <w:rPr>
          <w:szCs w:val="32"/>
        </w:rPr>
        <w:fldChar w:fldCharType="separate"/>
      </w:r>
      <w:r>
        <w:rPr>
          <w:rFonts w:hint="eastAsia" w:ascii="黑体" w:hAnsi="黑体" w:eastAsia="黑体"/>
          <w:bCs w:val="0"/>
          <w:szCs w:val="24"/>
        </w:rPr>
        <w:t xml:space="preserve">7.3.1. </w:t>
      </w:r>
      <w:r>
        <w:rPr>
          <w:rFonts w:hint="eastAsia"/>
          <w:szCs w:val="24"/>
        </w:rPr>
        <w:t>验收内容</w:t>
      </w:r>
      <w:r>
        <w:tab/>
      </w:r>
      <w:r>
        <w:fldChar w:fldCharType="begin"/>
      </w:r>
      <w:r>
        <w:instrText xml:space="preserve"> PAGEREF _Toc14837 \h </w:instrText>
      </w:r>
      <w:r>
        <w:fldChar w:fldCharType="separate"/>
      </w:r>
      <w:r>
        <w:t>73</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_Toc32398 </w:instrText>
      </w:r>
      <w:r>
        <w:rPr>
          <w:szCs w:val="32"/>
        </w:rPr>
        <w:fldChar w:fldCharType="separate"/>
      </w:r>
      <w:r>
        <w:rPr>
          <w:rFonts w:hint="eastAsia" w:ascii="黑体" w:hAnsi="黑体" w:eastAsia="黑体"/>
          <w:bCs w:val="0"/>
          <w:szCs w:val="24"/>
        </w:rPr>
        <w:t xml:space="preserve">7.3.2. </w:t>
      </w:r>
      <w:r>
        <w:rPr>
          <w:rFonts w:hint="eastAsia"/>
          <w:szCs w:val="24"/>
        </w:rPr>
        <w:t>承建单位内部评审验收</w:t>
      </w:r>
      <w:r>
        <w:tab/>
      </w:r>
      <w:r>
        <w:fldChar w:fldCharType="begin"/>
      </w:r>
      <w:r>
        <w:instrText xml:space="preserve"> PAGEREF _Toc32398 \h </w:instrText>
      </w:r>
      <w:r>
        <w:fldChar w:fldCharType="separate"/>
      </w:r>
      <w:r>
        <w:t>73</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_Toc25283 </w:instrText>
      </w:r>
      <w:r>
        <w:rPr>
          <w:szCs w:val="32"/>
        </w:rPr>
        <w:fldChar w:fldCharType="separate"/>
      </w:r>
      <w:r>
        <w:rPr>
          <w:rFonts w:hint="eastAsia" w:ascii="黑体" w:hAnsi="黑体" w:eastAsia="黑体"/>
          <w:bCs w:val="0"/>
          <w:szCs w:val="24"/>
        </w:rPr>
        <w:t xml:space="preserve">7.3.3. </w:t>
      </w:r>
      <w:r>
        <w:rPr>
          <w:rFonts w:hint="eastAsia"/>
          <w:szCs w:val="24"/>
        </w:rPr>
        <w:t>项目建设方验收</w:t>
      </w:r>
      <w:r>
        <w:tab/>
      </w:r>
      <w:r>
        <w:fldChar w:fldCharType="begin"/>
      </w:r>
      <w:r>
        <w:instrText xml:space="preserve"> PAGEREF _Toc25283 \h </w:instrText>
      </w:r>
      <w:r>
        <w:fldChar w:fldCharType="separate"/>
      </w:r>
      <w:r>
        <w:t>74</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_Toc14232 </w:instrText>
      </w:r>
      <w:r>
        <w:rPr>
          <w:szCs w:val="32"/>
        </w:rPr>
        <w:fldChar w:fldCharType="separate"/>
      </w:r>
      <w:r>
        <w:rPr>
          <w:rFonts w:hint="eastAsia" w:ascii="黑体" w:hAnsi="黑体" w:eastAsia="黑体"/>
          <w:bCs w:val="0"/>
          <w:szCs w:val="24"/>
        </w:rPr>
        <w:t xml:space="preserve">7.3.4. </w:t>
      </w:r>
      <w:r>
        <w:rPr>
          <w:rFonts w:hint="eastAsia"/>
          <w:szCs w:val="24"/>
        </w:rPr>
        <w:t>验收标准</w:t>
      </w:r>
      <w:r>
        <w:tab/>
      </w:r>
      <w:r>
        <w:fldChar w:fldCharType="begin"/>
      </w:r>
      <w:r>
        <w:instrText xml:space="preserve"> PAGEREF _Toc14232 \h </w:instrText>
      </w:r>
      <w:r>
        <w:fldChar w:fldCharType="separate"/>
      </w:r>
      <w:r>
        <w:t>75</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_Toc11888 </w:instrText>
      </w:r>
      <w:r>
        <w:rPr>
          <w:szCs w:val="32"/>
        </w:rPr>
        <w:fldChar w:fldCharType="separate"/>
      </w:r>
      <w:r>
        <w:rPr>
          <w:rFonts w:hint="eastAsia" w:ascii="黑体" w:hAnsi="黑体" w:eastAsia="黑体"/>
          <w:bCs w:val="0"/>
          <w:szCs w:val="24"/>
        </w:rPr>
        <w:t xml:space="preserve">7.3.5. </w:t>
      </w:r>
      <w:r>
        <w:rPr>
          <w:rFonts w:hint="eastAsia"/>
          <w:szCs w:val="24"/>
        </w:rPr>
        <w:t>验收交付成果</w:t>
      </w:r>
      <w:r>
        <w:tab/>
      </w:r>
      <w:r>
        <w:fldChar w:fldCharType="begin"/>
      </w:r>
      <w:r>
        <w:instrText xml:space="preserve"> PAGEREF _Toc11888 \h </w:instrText>
      </w:r>
      <w:r>
        <w:fldChar w:fldCharType="separate"/>
      </w:r>
      <w:r>
        <w:t>78</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_Toc15567 </w:instrText>
      </w:r>
      <w:r>
        <w:rPr>
          <w:szCs w:val="32"/>
        </w:rPr>
        <w:fldChar w:fldCharType="separate"/>
      </w:r>
      <w:r>
        <w:rPr>
          <w:rFonts w:hint="eastAsia"/>
        </w:rPr>
        <w:t>7.4. 质量管理</w:t>
      </w:r>
      <w:r>
        <w:tab/>
      </w:r>
      <w:r>
        <w:fldChar w:fldCharType="begin"/>
      </w:r>
      <w:r>
        <w:instrText xml:space="preserve"> PAGEREF _Toc15567 \h </w:instrText>
      </w:r>
      <w:r>
        <w:fldChar w:fldCharType="separate"/>
      </w:r>
      <w:r>
        <w:t>78</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_Toc44 </w:instrText>
      </w:r>
      <w:r>
        <w:rPr>
          <w:szCs w:val="32"/>
        </w:rPr>
        <w:fldChar w:fldCharType="separate"/>
      </w:r>
      <w:r>
        <w:rPr>
          <w:rFonts w:hint="eastAsia" w:ascii="黑体" w:hAnsi="黑体" w:eastAsia="黑体"/>
          <w:bCs w:val="0"/>
        </w:rPr>
        <w:t xml:space="preserve">7.4.1. </w:t>
      </w:r>
      <w:r>
        <w:rPr>
          <w:rFonts w:hint="eastAsia"/>
        </w:rPr>
        <w:t>项目质量保障组织</w:t>
      </w:r>
      <w:r>
        <w:tab/>
      </w:r>
      <w:r>
        <w:fldChar w:fldCharType="begin"/>
      </w:r>
      <w:r>
        <w:instrText xml:space="preserve"> PAGEREF _Toc44 \h </w:instrText>
      </w:r>
      <w:r>
        <w:fldChar w:fldCharType="separate"/>
      </w:r>
      <w:r>
        <w:t>78</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_Toc21788 </w:instrText>
      </w:r>
      <w:r>
        <w:rPr>
          <w:szCs w:val="32"/>
        </w:rPr>
        <w:fldChar w:fldCharType="separate"/>
      </w:r>
      <w:r>
        <w:rPr>
          <w:rFonts w:hint="eastAsia" w:ascii="黑体" w:hAnsi="黑体" w:eastAsia="黑体"/>
          <w:bCs w:val="0"/>
        </w:rPr>
        <w:t xml:space="preserve">7.4.2. </w:t>
      </w:r>
      <w:r>
        <w:rPr>
          <w:rFonts w:hint="eastAsia"/>
        </w:rPr>
        <w:t>项目质量管理主要活动</w:t>
      </w:r>
      <w:r>
        <w:tab/>
      </w:r>
      <w:r>
        <w:fldChar w:fldCharType="begin"/>
      </w:r>
      <w:r>
        <w:instrText xml:space="preserve"> PAGEREF _Toc21788 \h </w:instrText>
      </w:r>
      <w:r>
        <w:fldChar w:fldCharType="separate"/>
      </w:r>
      <w:r>
        <w:t>79</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_Toc31203 </w:instrText>
      </w:r>
      <w:r>
        <w:rPr>
          <w:szCs w:val="32"/>
        </w:rPr>
        <w:fldChar w:fldCharType="separate"/>
      </w:r>
      <w:r>
        <w:rPr>
          <w:rFonts w:hint="eastAsia" w:ascii="黑体" w:hAnsi="黑体" w:eastAsia="黑体"/>
          <w:bCs w:val="0"/>
          <w:lang w:val="en-US" w:eastAsia="zh-CN"/>
        </w:rPr>
        <w:t xml:space="preserve">7.4.3. </w:t>
      </w:r>
      <w:r>
        <w:rPr>
          <w:rFonts w:hint="eastAsia"/>
          <w:lang w:val="en-US" w:eastAsia="zh-CN"/>
        </w:rPr>
        <w:t>服务质量保证</w:t>
      </w:r>
      <w:r>
        <w:tab/>
      </w:r>
      <w:r>
        <w:fldChar w:fldCharType="begin"/>
      </w:r>
      <w:r>
        <w:instrText xml:space="preserve"> PAGEREF _Toc31203 \h </w:instrText>
      </w:r>
      <w:r>
        <w:fldChar w:fldCharType="separate"/>
      </w:r>
      <w:r>
        <w:t>79</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_Toc24251 </w:instrText>
      </w:r>
      <w:r>
        <w:rPr>
          <w:szCs w:val="32"/>
        </w:rPr>
        <w:fldChar w:fldCharType="separate"/>
      </w:r>
      <w:r>
        <w:rPr>
          <w:rFonts w:hint="eastAsia"/>
        </w:rPr>
        <w:t>7.5. 人员培训需求和计划</w:t>
      </w:r>
      <w:r>
        <w:tab/>
      </w:r>
      <w:r>
        <w:fldChar w:fldCharType="begin"/>
      </w:r>
      <w:r>
        <w:instrText xml:space="preserve"> PAGEREF _Toc24251 \h </w:instrText>
      </w:r>
      <w:r>
        <w:fldChar w:fldCharType="separate"/>
      </w:r>
      <w:r>
        <w:t>82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_Toc15582 </w:instrText>
      </w:r>
      <w:r>
        <w:rPr>
          <w:szCs w:val="32"/>
        </w:rPr>
        <w:fldChar w:fldCharType="separate"/>
      </w:r>
      <w:r>
        <w:rPr>
          <w:rFonts w:hint="eastAsia" w:ascii="黑体" w:hAnsi="黑体" w:eastAsia="黑体"/>
          <w:bCs w:val="0"/>
        </w:rPr>
        <w:t xml:space="preserve">7.5.1. </w:t>
      </w:r>
      <w:r>
        <w:rPr>
          <w:rFonts w:hint="eastAsia"/>
        </w:rPr>
        <w:t>培训期</w:t>
      </w:r>
      <w:r>
        <w:tab/>
      </w:r>
      <w:r>
        <w:fldChar w:fldCharType="begin"/>
      </w:r>
      <w:r>
        <w:instrText xml:space="preserve"> PAGEREF _Toc15582 \h </w:instrText>
      </w:r>
      <w:r>
        <w:fldChar w:fldCharType="separate"/>
      </w:r>
      <w:r>
        <w:t>82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_Toc10720 </w:instrText>
      </w:r>
      <w:r>
        <w:rPr>
          <w:szCs w:val="32"/>
        </w:rPr>
        <w:fldChar w:fldCharType="separate"/>
      </w:r>
      <w:r>
        <w:rPr>
          <w:rFonts w:hint="eastAsia" w:ascii="黑体" w:hAnsi="黑体" w:eastAsia="黑体"/>
          <w:bCs w:val="0"/>
        </w:rPr>
        <w:t xml:space="preserve">7.5.2. </w:t>
      </w:r>
      <w:r>
        <w:rPr>
          <w:rFonts w:hint="eastAsia"/>
        </w:rPr>
        <w:t>制定培训计划</w:t>
      </w:r>
      <w:r>
        <w:tab/>
      </w:r>
      <w:r>
        <w:fldChar w:fldCharType="begin"/>
      </w:r>
      <w:r>
        <w:instrText xml:space="preserve"> PAGEREF _Toc10720 \h </w:instrText>
      </w:r>
      <w:r>
        <w:fldChar w:fldCharType="separate"/>
      </w:r>
      <w:r>
        <w:t>82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_Toc1099 </w:instrText>
      </w:r>
      <w:r>
        <w:rPr>
          <w:szCs w:val="32"/>
        </w:rPr>
        <w:fldChar w:fldCharType="separate"/>
      </w:r>
      <w:r>
        <w:rPr>
          <w:rFonts w:hint="eastAsia" w:ascii="黑体" w:hAnsi="黑体" w:eastAsia="黑体"/>
          <w:bCs w:val="0"/>
        </w:rPr>
        <w:t xml:space="preserve">7.5.3. </w:t>
      </w:r>
      <w:r>
        <w:rPr>
          <w:rFonts w:hint="eastAsia"/>
        </w:rPr>
        <w:t>培训准备</w:t>
      </w:r>
      <w:r>
        <w:tab/>
      </w:r>
      <w:r>
        <w:fldChar w:fldCharType="begin"/>
      </w:r>
      <w:r>
        <w:instrText xml:space="preserve"> PAGEREF _Toc1099 \h </w:instrText>
      </w:r>
      <w:r>
        <w:fldChar w:fldCharType="separate"/>
      </w:r>
      <w:r>
        <w:t>82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_Toc10663 </w:instrText>
      </w:r>
      <w:r>
        <w:rPr>
          <w:szCs w:val="32"/>
        </w:rPr>
        <w:fldChar w:fldCharType="separate"/>
      </w:r>
      <w:r>
        <w:rPr>
          <w:rFonts w:hint="eastAsia" w:ascii="黑体" w:hAnsi="黑体" w:eastAsia="黑体"/>
          <w:bCs w:val="0"/>
        </w:rPr>
        <w:t xml:space="preserve">7.5.4. </w:t>
      </w:r>
      <w:r>
        <w:rPr>
          <w:rFonts w:hint="eastAsia"/>
        </w:rPr>
        <w:t>培训内容</w:t>
      </w:r>
      <w:r>
        <w:tab/>
      </w:r>
      <w:r>
        <w:fldChar w:fldCharType="begin"/>
      </w:r>
      <w:r>
        <w:instrText xml:space="preserve"> PAGEREF _Toc10663 \h </w:instrText>
      </w:r>
      <w:r>
        <w:fldChar w:fldCharType="separate"/>
      </w:r>
      <w:r>
        <w:t>83</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_Toc4336 </w:instrText>
      </w:r>
      <w:r>
        <w:rPr>
          <w:szCs w:val="32"/>
        </w:rPr>
        <w:fldChar w:fldCharType="separate"/>
      </w:r>
      <w:r>
        <w:rPr>
          <w:rFonts w:hint="eastAsia" w:ascii="黑体" w:hAnsi="黑体" w:eastAsia="黑体"/>
          <w:bCs w:val="0"/>
        </w:rPr>
        <w:t xml:space="preserve">7.5.5. </w:t>
      </w:r>
      <w:r>
        <w:rPr>
          <w:rFonts w:hint="eastAsia"/>
        </w:rPr>
        <w:t>培训现场授课</w:t>
      </w:r>
      <w:r>
        <w:tab/>
      </w:r>
      <w:r>
        <w:fldChar w:fldCharType="begin"/>
      </w:r>
      <w:r>
        <w:instrText xml:space="preserve"> PAGEREF _Toc4336 \h </w:instrText>
      </w:r>
      <w:r>
        <w:fldChar w:fldCharType="separate"/>
      </w:r>
      <w:r>
        <w:t>84</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_Toc13677 </w:instrText>
      </w:r>
      <w:r>
        <w:rPr>
          <w:szCs w:val="32"/>
        </w:rPr>
        <w:fldChar w:fldCharType="separate"/>
      </w:r>
      <w:r>
        <w:rPr>
          <w:rFonts w:hint="eastAsia" w:ascii="黑体" w:hAnsi="黑体" w:eastAsia="黑体"/>
          <w:bCs w:val="0"/>
          <w:lang w:val="en-US" w:eastAsia="zh-CN"/>
        </w:rPr>
        <w:t xml:space="preserve">7.5.6. </w:t>
      </w:r>
      <w:r>
        <w:rPr>
          <w:rFonts w:hint="eastAsia"/>
          <w:lang w:val="en-US" w:eastAsia="zh-CN"/>
        </w:rPr>
        <w:t>培训效果</w:t>
      </w:r>
      <w:r>
        <w:tab/>
      </w:r>
      <w:r>
        <w:fldChar w:fldCharType="begin"/>
      </w:r>
      <w:r>
        <w:instrText xml:space="preserve"> PAGEREF _Toc13677 \h </w:instrText>
      </w:r>
      <w:r>
        <w:fldChar w:fldCharType="separate"/>
      </w:r>
      <w:r>
        <w:t>85</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_Toc22430 </w:instrText>
      </w:r>
      <w:r>
        <w:rPr>
          <w:szCs w:val="32"/>
        </w:rPr>
        <w:fldChar w:fldCharType="separate"/>
      </w:r>
      <w:r>
        <w:rPr>
          <w:rFonts w:hint="eastAsia" w:ascii="黑体" w:hAnsi="黑体" w:eastAsia="黑体"/>
          <w:bCs w:val="0"/>
        </w:rPr>
        <w:t xml:space="preserve">7.5.7. </w:t>
      </w:r>
      <w:r>
        <w:rPr>
          <w:rFonts w:hint="eastAsia"/>
        </w:rPr>
        <w:t>培训效果跟踪及质量保障</w:t>
      </w:r>
      <w:r>
        <w:tab/>
      </w:r>
      <w:r>
        <w:fldChar w:fldCharType="begin"/>
      </w:r>
      <w:r>
        <w:instrText xml:space="preserve"> PAGEREF _Toc22430 \h </w:instrText>
      </w:r>
      <w:r>
        <w:fldChar w:fldCharType="separate"/>
      </w:r>
      <w:r>
        <w:t>85</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_Toc9729 </w:instrText>
      </w:r>
      <w:r>
        <w:rPr>
          <w:szCs w:val="32"/>
        </w:rPr>
        <w:fldChar w:fldCharType="separate"/>
      </w:r>
      <w:r>
        <w:rPr>
          <w:rFonts w:hint="eastAsia" w:ascii="黑体" w:hAnsi="黑体" w:eastAsia="黑体"/>
          <w:bCs w:val="0"/>
        </w:rPr>
        <w:t xml:space="preserve">7.5.8. </w:t>
      </w:r>
      <w:r>
        <w:rPr>
          <w:rFonts w:hint="eastAsia"/>
        </w:rPr>
        <w:t>培训服务确认</w:t>
      </w:r>
      <w:r>
        <w:tab/>
      </w:r>
      <w:r>
        <w:fldChar w:fldCharType="begin"/>
      </w:r>
      <w:r>
        <w:instrText xml:space="preserve"> PAGEREF _Toc9729 \h </w:instrText>
      </w:r>
      <w:r>
        <w:fldChar w:fldCharType="separate"/>
      </w:r>
      <w:r>
        <w:t>86</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_Toc12322 </w:instrText>
      </w:r>
      <w:r>
        <w:rPr>
          <w:szCs w:val="32"/>
        </w:rPr>
        <w:fldChar w:fldCharType="separate"/>
      </w:r>
      <w:r>
        <w:rPr>
          <w:rFonts w:hint="eastAsia"/>
        </w:rPr>
        <w:t>7.6. 项目风险与风险管理</w:t>
      </w:r>
      <w:r>
        <w:tab/>
      </w:r>
      <w:r>
        <w:fldChar w:fldCharType="begin"/>
      </w:r>
      <w:r>
        <w:instrText xml:space="preserve"> PAGEREF _Toc12322 \h </w:instrText>
      </w:r>
      <w:r>
        <w:fldChar w:fldCharType="separate"/>
      </w:r>
      <w:r>
        <w:t>86</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_Toc13650 </w:instrText>
      </w:r>
      <w:r>
        <w:rPr>
          <w:szCs w:val="32"/>
        </w:rPr>
        <w:fldChar w:fldCharType="separate"/>
      </w:r>
      <w:r>
        <w:rPr>
          <w:rFonts w:hint="eastAsia" w:ascii="黑体" w:hAnsi="黑体" w:eastAsia="黑体"/>
          <w:bCs w:val="0"/>
          <w:lang w:val="en-US" w:eastAsia="zh-CN"/>
        </w:rPr>
        <w:t xml:space="preserve">7.6.1. </w:t>
      </w:r>
      <w:r>
        <w:rPr>
          <w:rFonts w:hint="eastAsia"/>
          <w:lang w:val="en-US" w:eastAsia="zh-CN"/>
        </w:rPr>
        <w:t>项目风险</w:t>
      </w:r>
      <w:r>
        <w:tab/>
      </w:r>
      <w:r>
        <w:fldChar w:fldCharType="begin"/>
      </w:r>
      <w:r>
        <w:instrText xml:space="preserve"> PAGEREF _Toc13650 \h </w:instrText>
      </w:r>
      <w:r>
        <w:fldChar w:fldCharType="separate"/>
      </w:r>
      <w:r>
        <w:t>86</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_Toc28860 </w:instrText>
      </w:r>
      <w:r>
        <w:rPr>
          <w:szCs w:val="32"/>
        </w:rPr>
        <w:fldChar w:fldCharType="separate"/>
      </w:r>
      <w:r>
        <w:rPr>
          <w:rFonts w:hint="eastAsia" w:ascii="黑体" w:hAnsi="黑体" w:eastAsia="黑体"/>
          <w:bCs w:val="0"/>
        </w:rPr>
        <w:t xml:space="preserve">7.6.2. </w:t>
      </w:r>
      <w:r>
        <w:rPr>
          <w:rFonts w:hint="eastAsia"/>
        </w:rPr>
        <w:t>风险对策</w:t>
      </w:r>
      <w:r>
        <w:tab/>
      </w:r>
      <w:r>
        <w:fldChar w:fldCharType="begin"/>
      </w:r>
      <w:r>
        <w:instrText xml:space="preserve"> PAGEREF _Toc28860 \h </w:instrText>
      </w:r>
      <w:r>
        <w:fldChar w:fldCharType="separate"/>
      </w:r>
      <w:r>
        <w:t>86</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_Toc31868 </w:instrText>
      </w:r>
      <w:r>
        <w:rPr>
          <w:szCs w:val="32"/>
        </w:rPr>
        <w:fldChar w:fldCharType="separate"/>
      </w:r>
      <w:r>
        <w:rPr>
          <w:rFonts w:hint="eastAsia"/>
        </w:rPr>
        <w:t>7.7. 项目售后服务</w:t>
      </w:r>
      <w:r>
        <w:tab/>
      </w:r>
      <w:r>
        <w:fldChar w:fldCharType="begin"/>
      </w:r>
      <w:r>
        <w:instrText xml:space="preserve"> PAGEREF _Toc31868 \h </w:instrText>
      </w:r>
      <w:r>
        <w:fldChar w:fldCharType="separate"/>
      </w:r>
      <w:r>
        <w:t>88</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_Toc624 </w:instrText>
      </w:r>
      <w:r>
        <w:rPr>
          <w:szCs w:val="32"/>
        </w:rPr>
        <w:fldChar w:fldCharType="separate"/>
      </w:r>
      <w:r>
        <w:rPr>
          <w:rFonts w:hint="eastAsia" w:ascii="黑体" w:hAnsi="黑体" w:eastAsia="黑体" w:cs="宋体"/>
          <w:bCs w:val="0"/>
          <w:lang w:val="en-US" w:eastAsia="zh-CN"/>
        </w:rPr>
        <w:t xml:space="preserve">7.7.1. </w:t>
      </w:r>
      <w:r>
        <w:rPr>
          <w:rFonts w:hint="eastAsia" w:cs="宋体"/>
          <w:lang w:val="en-US" w:eastAsia="zh-CN"/>
        </w:rPr>
        <w:t>运营服务技术支持和响应</w:t>
      </w:r>
      <w:r>
        <w:tab/>
      </w:r>
      <w:r>
        <w:fldChar w:fldCharType="begin"/>
      </w:r>
      <w:r>
        <w:instrText xml:space="preserve"> PAGEREF _Toc624 \h </w:instrText>
      </w:r>
      <w:r>
        <w:fldChar w:fldCharType="separate"/>
      </w:r>
      <w:r>
        <w:t>88</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_Toc2923 </w:instrText>
      </w:r>
      <w:r>
        <w:rPr>
          <w:szCs w:val="32"/>
        </w:rPr>
        <w:fldChar w:fldCharType="separate"/>
      </w:r>
      <w:r>
        <w:rPr>
          <w:rFonts w:hint="eastAsia" w:ascii="黑体" w:hAnsi="黑体" w:eastAsia="黑体" w:cs="宋体"/>
          <w:bCs w:val="0"/>
          <w:lang w:val="en-US" w:eastAsia="zh-CN"/>
        </w:rPr>
        <w:t xml:space="preserve">7.7.2. </w:t>
      </w:r>
      <w:r>
        <w:rPr>
          <w:rFonts w:hint="eastAsia" w:cs="宋体"/>
          <w:lang w:val="en-US" w:eastAsia="zh-CN"/>
        </w:rPr>
        <w:t>响应服务流程</w:t>
      </w:r>
      <w:r>
        <w:tab/>
      </w:r>
      <w:r>
        <w:fldChar w:fldCharType="begin"/>
      </w:r>
      <w:r>
        <w:instrText xml:space="preserve"> PAGEREF _Toc2923 \h </w:instrText>
      </w:r>
      <w:r>
        <w:fldChar w:fldCharType="separate"/>
      </w:r>
      <w:r>
        <w:t>89</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_Toc7331 </w:instrText>
      </w:r>
      <w:r>
        <w:rPr>
          <w:szCs w:val="32"/>
        </w:rPr>
        <w:fldChar w:fldCharType="separate"/>
      </w:r>
      <w:r>
        <w:rPr>
          <w:rFonts w:hint="eastAsia" w:ascii="黑体" w:hAnsi="黑体" w:eastAsia="黑体" w:cs="宋体"/>
          <w:bCs w:val="0"/>
          <w:lang w:val="en-US" w:eastAsia="zh-CN"/>
        </w:rPr>
        <w:t xml:space="preserve">7.7.3. </w:t>
      </w:r>
      <w:r>
        <w:rPr>
          <w:rFonts w:hint="eastAsia" w:cs="宋体"/>
          <w:lang w:val="en-US" w:eastAsia="zh-CN"/>
        </w:rPr>
        <w:t>售后服务体系</w:t>
      </w:r>
      <w:r>
        <w:tab/>
      </w:r>
      <w:r>
        <w:fldChar w:fldCharType="begin"/>
      </w:r>
      <w:r>
        <w:instrText xml:space="preserve"> PAGEREF _Toc7331 \h </w:instrText>
      </w:r>
      <w:r>
        <w:fldChar w:fldCharType="separate"/>
      </w:r>
      <w:r>
        <w:t>90</w:t>
      </w:r>
      <w:r>
        <w:fldChar w:fldCharType="end"/>
      </w:r>
      <w:r>
        <w:rPr>
          <w:color w:val="000000" w:themeColor="text1"/>
          <w:szCs w:val="32"/>
          <w14:textFill>
            <w14:solidFill>
              <w14:schemeClr w14:val="tx1"/>
            </w14:solidFill>
          </w14:textFill>
        </w:rPr>
        <w:fldChar w:fldCharType="end"/>
      </w:r>
    </w:p>
    <w:p>
      <w:pPr>
        <w:pStyle w:val="27"/>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_Toc11885 </w:instrText>
      </w:r>
      <w:r>
        <w:rPr>
          <w:szCs w:val="32"/>
        </w:rPr>
        <w:fldChar w:fldCharType="separate"/>
      </w:r>
      <w:r>
        <w:rPr>
          <w:rFonts w:hint="eastAsia"/>
          <w:lang w:val="en-US" w:eastAsia="zh-CN"/>
        </w:rPr>
        <w:t xml:space="preserve">第8章 </w:t>
      </w:r>
      <w:r>
        <w:rPr>
          <w:rFonts w:hint="eastAsia" w:ascii="Times New Roman" w:hAnsi="Times New Roman" w:cs="宋体"/>
          <w:szCs w:val="32"/>
        </w:rPr>
        <w:t>项目总投资概算</w:t>
      </w:r>
      <w:r>
        <w:tab/>
      </w:r>
      <w:r>
        <w:fldChar w:fldCharType="begin"/>
      </w:r>
      <w:r>
        <w:instrText xml:space="preserve"> PAGEREF _Toc11885 \h </w:instrText>
      </w:r>
      <w:r>
        <w:fldChar w:fldCharType="separate"/>
      </w:r>
      <w:r>
        <w:t>92</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_Toc2791 </w:instrText>
      </w:r>
      <w:r>
        <w:rPr>
          <w:szCs w:val="32"/>
        </w:rPr>
        <w:fldChar w:fldCharType="separate"/>
      </w:r>
      <w:r>
        <w:rPr>
          <w:rFonts w:hint="eastAsia"/>
        </w:rPr>
        <w:t>8.1. 项目投资概算</w:t>
      </w:r>
      <w:r>
        <w:rPr>
          <w:rFonts w:hint="eastAsia"/>
          <w:lang w:val="en-US" w:eastAsia="zh-CN"/>
        </w:rPr>
        <w:t>总</w:t>
      </w:r>
      <w:r>
        <w:rPr>
          <w:rFonts w:hint="eastAsia"/>
        </w:rPr>
        <w:t>表</w:t>
      </w:r>
      <w:r>
        <w:tab/>
      </w:r>
      <w:r>
        <w:fldChar w:fldCharType="begin"/>
      </w:r>
      <w:r>
        <w:instrText xml:space="preserve"> PAGEREF _Toc2791 \h </w:instrText>
      </w:r>
      <w:r>
        <w:fldChar w:fldCharType="separate"/>
      </w:r>
      <w:r>
        <w:t>92</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_Toc22883 </w:instrText>
      </w:r>
      <w:r>
        <w:rPr>
          <w:szCs w:val="32"/>
        </w:rPr>
        <w:fldChar w:fldCharType="separate"/>
      </w:r>
      <w:r>
        <w:rPr>
          <w:rFonts w:hint="eastAsia" w:cs="宋体"/>
          <w:lang w:val="en-US" w:eastAsia="zh-CN"/>
        </w:rPr>
        <w:t xml:space="preserve">8.2. </w:t>
      </w:r>
      <w:r>
        <w:rPr>
          <w:rFonts w:hint="eastAsia"/>
        </w:rPr>
        <w:t>预算明细表</w:t>
      </w:r>
      <w:r>
        <w:tab/>
      </w:r>
      <w:r>
        <w:fldChar w:fldCharType="begin"/>
      </w:r>
      <w:r>
        <w:instrText xml:space="preserve"> PAGEREF _Toc22883 \h </w:instrText>
      </w:r>
      <w:r>
        <w:fldChar w:fldCharType="separate"/>
      </w:r>
      <w:r>
        <w:t>93</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_Toc13795 </w:instrText>
      </w:r>
      <w:r>
        <w:rPr>
          <w:szCs w:val="32"/>
        </w:rPr>
        <w:fldChar w:fldCharType="separate"/>
      </w:r>
      <w:r>
        <w:rPr>
          <w:rFonts w:hint="eastAsia" w:ascii="黑体" w:hAnsi="黑体" w:eastAsia="黑体"/>
          <w:bCs w:val="0"/>
          <w:lang w:val="en-US" w:eastAsia="zh-CN"/>
        </w:rPr>
        <w:t xml:space="preserve">8.2.1. </w:t>
      </w:r>
      <w:r>
        <w:rPr>
          <w:rFonts w:hint="default"/>
          <w:lang w:val="en-US" w:eastAsia="zh-CN"/>
        </w:rPr>
        <w:t>农产品展销管理平台运营服务费用明细表</w:t>
      </w:r>
      <w:r>
        <w:tab/>
      </w:r>
      <w:r>
        <w:fldChar w:fldCharType="begin"/>
      </w:r>
      <w:r>
        <w:instrText xml:space="preserve"> PAGEREF _Toc13795 \h </w:instrText>
      </w:r>
      <w:r>
        <w:fldChar w:fldCharType="separate"/>
      </w:r>
      <w:r>
        <w:t>93</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_Toc11637 </w:instrText>
      </w:r>
      <w:r>
        <w:rPr>
          <w:szCs w:val="32"/>
        </w:rPr>
        <w:fldChar w:fldCharType="separate"/>
      </w:r>
      <w:r>
        <w:rPr>
          <w:rFonts w:hint="eastAsia" w:ascii="黑体" w:hAnsi="黑体" w:eastAsia="黑体"/>
          <w:bCs w:val="0"/>
          <w:lang w:val="en-US" w:eastAsia="zh-CN"/>
        </w:rPr>
        <w:t xml:space="preserve">8.2.2. </w:t>
      </w:r>
      <w:r>
        <w:rPr>
          <w:rFonts w:hint="default"/>
          <w:lang w:val="en-US" w:eastAsia="zh-CN"/>
        </w:rPr>
        <w:t>农产品展销管理平台人员服务费用明细</w:t>
      </w:r>
      <w:r>
        <w:tab/>
      </w:r>
      <w:r>
        <w:fldChar w:fldCharType="begin"/>
      </w:r>
      <w:r>
        <w:instrText xml:space="preserve"> PAGEREF _Toc11637 \h </w:instrText>
      </w:r>
      <w:r>
        <w:fldChar w:fldCharType="separate"/>
      </w:r>
      <w:r>
        <w:t>106</w:t>
      </w:r>
      <w:r>
        <w:fldChar w:fldCharType="end"/>
      </w:r>
      <w:r>
        <w:rPr>
          <w:color w:val="000000" w:themeColor="text1"/>
          <w:szCs w:val="32"/>
          <w14:textFill>
            <w14:solidFill>
              <w14:schemeClr w14:val="tx1"/>
            </w14:solidFill>
          </w14:textFill>
        </w:rPr>
        <w:fldChar w:fldCharType="end"/>
      </w:r>
    </w:p>
    <w:p>
      <w:pPr>
        <w:pStyle w:val="27"/>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_Toc12472 </w:instrText>
      </w:r>
      <w:r>
        <w:rPr>
          <w:szCs w:val="32"/>
        </w:rPr>
        <w:fldChar w:fldCharType="separate"/>
      </w:r>
      <w:r>
        <w:rPr>
          <w:rFonts w:hint="eastAsia" w:ascii="Times New Roman" w:hAnsi="Times New Roman"/>
          <w:szCs w:val="36"/>
          <w:lang w:val="en-US" w:eastAsia="zh-CN"/>
        </w:rPr>
        <w:t>第二部分 非信息化建设方案</w:t>
      </w:r>
      <w:r>
        <w:tab/>
      </w:r>
      <w:r>
        <w:fldChar w:fldCharType="begin"/>
      </w:r>
      <w:r>
        <w:instrText xml:space="preserve"> PAGEREF _Toc12472 \h </w:instrText>
      </w:r>
      <w:r>
        <w:fldChar w:fldCharType="separate"/>
      </w:r>
      <w:r>
        <w:t>1</w:t>
      </w:r>
      <w:r>
        <w:fldChar w:fldCharType="end"/>
      </w:r>
      <w:r>
        <w:rPr>
          <w:color w:val="000000" w:themeColor="text1"/>
          <w:szCs w:val="32"/>
          <w14:textFill>
            <w14:solidFill>
              <w14:schemeClr w14:val="tx1"/>
            </w14:solidFill>
          </w14:textFill>
        </w:rPr>
        <w:fldChar w:fldCharType="end"/>
      </w:r>
    </w:p>
    <w:p>
      <w:pPr>
        <w:pStyle w:val="27"/>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_Toc30072 </w:instrText>
      </w:r>
      <w:r>
        <w:rPr>
          <w:szCs w:val="32"/>
        </w:rPr>
        <w:fldChar w:fldCharType="separate"/>
      </w:r>
      <w:r>
        <w:rPr>
          <w:rFonts w:hint="eastAsia" w:ascii="Times New Roman" w:hAnsi="Times New Roman" w:cs="宋体"/>
          <w:szCs w:val="32"/>
          <w:lang w:val="en-US" w:eastAsia="zh-CN"/>
        </w:rPr>
        <w:t>第1章 项目方案</w:t>
      </w:r>
      <w:r>
        <w:tab/>
      </w:r>
      <w:r>
        <w:fldChar w:fldCharType="begin"/>
      </w:r>
      <w:r>
        <w:instrText xml:space="preserve"> PAGEREF _Toc30072 \h </w:instrText>
      </w:r>
      <w:r>
        <w:fldChar w:fldCharType="separate"/>
      </w:r>
      <w:r>
        <w:t>1</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_Toc22099 </w:instrText>
      </w:r>
      <w:r>
        <w:rPr>
          <w:szCs w:val="32"/>
        </w:rPr>
        <w:fldChar w:fldCharType="separate"/>
      </w:r>
      <w:r>
        <w:rPr>
          <w:rFonts w:hint="eastAsia"/>
          <w:lang w:val="en-US" w:eastAsia="zh-CN"/>
        </w:rPr>
        <w:t>1.1 建设内容</w:t>
      </w:r>
      <w:r>
        <w:tab/>
      </w:r>
      <w:r>
        <w:fldChar w:fldCharType="begin"/>
      </w:r>
      <w:r>
        <w:instrText xml:space="preserve"> PAGEREF _Toc22099 \h </w:instrText>
      </w:r>
      <w:r>
        <w:fldChar w:fldCharType="separate"/>
      </w:r>
      <w:r>
        <w:t>1</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_Toc5729 </w:instrText>
      </w:r>
      <w:r>
        <w:rPr>
          <w:szCs w:val="32"/>
        </w:rPr>
        <w:fldChar w:fldCharType="separate"/>
      </w:r>
      <w:r>
        <w:rPr>
          <w:rFonts w:hint="eastAsia" w:cs="宋体"/>
          <w:lang w:val="en-US" w:eastAsia="zh-CN"/>
        </w:rPr>
        <w:t xml:space="preserve">1.1. </w:t>
      </w:r>
      <w:r>
        <w:rPr>
          <w:rFonts w:hint="eastAsia"/>
          <w:lang w:val="en-US" w:eastAsia="zh-CN"/>
        </w:rPr>
        <w:t>和平县农产品上行体系建设</w:t>
      </w:r>
      <w:r>
        <w:tab/>
      </w:r>
      <w:r>
        <w:fldChar w:fldCharType="begin"/>
      </w:r>
      <w:r>
        <w:instrText xml:space="preserve"> PAGEREF _Toc5729 \h </w:instrText>
      </w:r>
      <w:r>
        <w:fldChar w:fldCharType="separate"/>
      </w:r>
      <w:r>
        <w:t>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_Toc7819 </w:instrText>
      </w:r>
      <w:r>
        <w:rPr>
          <w:szCs w:val="32"/>
        </w:rPr>
        <w:fldChar w:fldCharType="separate"/>
      </w:r>
      <w:r>
        <w:rPr>
          <w:rFonts w:hint="eastAsia" w:ascii="黑体" w:hAnsi="黑体" w:eastAsia="黑体" w:cs="宋体"/>
          <w:bCs w:val="0"/>
          <w:lang w:val="en-US" w:eastAsia="zh-CN"/>
        </w:rPr>
        <w:t xml:space="preserve">1.1.1. </w:t>
      </w:r>
      <w:r>
        <w:rPr>
          <w:rFonts w:hint="eastAsia" w:cs="宋体"/>
          <w:lang w:val="en-US" w:eastAsia="zh-CN"/>
        </w:rPr>
        <w:t>和平县农产品加工和认证中心</w:t>
      </w:r>
      <w:r>
        <w:tab/>
      </w:r>
      <w:r>
        <w:fldChar w:fldCharType="begin"/>
      </w:r>
      <w:r>
        <w:instrText xml:space="preserve"> PAGEREF _Toc7819 \h </w:instrText>
      </w:r>
      <w:r>
        <w:fldChar w:fldCharType="separate"/>
      </w:r>
      <w:r>
        <w:t>2</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_Toc7294 </w:instrText>
      </w:r>
      <w:r>
        <w:rPr>
          <w:szCs w:val="32"/>
        </w:rPr>
        <w:fldChar w:fldCharType="separate"/>
      </w:r>
      <w:r>
        <w:rPr>
          <w:rFonts w:hint="eastAsia" w:ascii="黑体" w:hAnsi="黑体" w:eastAsia="黑体"/>
          <w:bCs w:val="0"/>
          <w:lang w:val="en-US" w:eastAsia="zh-CN"/>
        </w:rPr>
        <w:t xml:space="preserve">1.1.2. </w:t>
      </w:r>
      <w:r>
        <w:rPr>
          <w:rFonts w:hint="eastAsia"/>
          <w:lang w:val="en-US" w:eastAsia="zh-CN"/>
        </w:rPr>
        <w:t>农产品品牌策划推广及农产品品牌包装设计</w:t>
      </w:r>
      <w:r>
        <w:tab/>
      </w:r>
      <w:r>
        <w:fldChar w:fldCharType="begin"/>
      </w:r>
      <w:r>
        <w:instrText xml:space="preserve"> PAGEREF _Toc7294 \h </w:instrText>
      </w:r>
      <w:r>
        <w:fldChar w:fldCharType="separate"/>
      </w:r>
      <w:r>
        <w:t>10</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_Toc20737 </w:instrText>
      </w:r>
      <w:r>
        <w:rPr>
          <w:szCs w:val="32"/>
        </w:rPr>
        <w:fldChar w:fldCharType="separate"/>
      </w:r>
      <w:r>
        <w:rPr>
          <w:rFonts w:hint="eastAsia" w:ascii="黑体" w:hAnsi="黑体" w:eastAsia="黑体"/>
          <w:bCs w:val="0"/>
          <w:lang w:val="en-US" w:eastAsia="zh-CN"/>
        </w:rPr>
        <w:t xml:space="preserve">1.1.3. </w:t>
      </w:r>
      <w:r>
        <w:rPr>
          <w:rFonts w:hint="eastAsia"/>
          <w:lang w:val="en-US" w:eastAsia="zh-CN"/>
        </w:rPr>
        <w:t>电商直播基地打造</w:t>
      </w:r>
      <w:r>
        <w:tab/>
      </w:r>
      <w:r>
        <w:fldChar w:fldCharType="begin"/>
      </w:r>
      <w:r>
        <w:instrText xml:space="preserve"> PAGEREF _Toc20737 \h </w:instrText>
      </w:r>
      <w:r>
        <w:fldChar w:fldCharType="separate"/>
      </w:r>
      <w:r>
        <w:t>14</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_Toc4942 </w:instrText>
      </w:r>
      <w:r>
        <w:rPr>
          <w:szCs w:val="32"/>
        </w:rPr>
        <w:fldChar w:fldCharType="separate"/>
      </w:r>
      <w:r>
        <w:rPr>
          <w:rFonts w:hint="eastAsia" w:ascii="黑体" w:hAnsi="黑体" w:eastAsia="黑体"/>
          <w:bCs w:val="0"/>
          <w:lang w:val="en-US" w:eastAsia="zh-CN"/>
        </w:rPr>
        <w:t xml:space="preserve">1.1.4. </w:t>
      </w:r>
      <w:r>
        <w:rPr>
          <w:rFonts w:hint="eastAsia"/>
          <w:lang w:val="en-US" w:eastAsia="zh-CN"/>
        </w:rPr>
        <w:t>抖音短视频拍摄制作</w:t>
      </w:r>
      <w:r>
        <w:tab/>
      </w:r>
      <w:r>
        <w:fldChar w:fldCharType="begin"/>
      </w:r>
      <w:r>
        <w:instrText xml:space="preserve"> PAGEREF _Toc4942 \h </w:instrText>
      </w:r>
      <w:r>
        <w:fldChar w:fldCharType="separate"/>
      </w:r>
      <w:r>
        <w:t>23</w:t>
      </w:r>
      <w:r>
        <w:fldChar w:fldCharType="end"/>
      </w:r>
      <w:r>
        <w:rPr>
          <w:color w:val="000000" w:themeColor="text1"/>
          <w:szCs w:val="32"/>
          <w14:textFill>
            <w14:solidFill>
              <w14:schemeClr w14:val="tx1"/>
            </w14:solidFill>
          </w14:textFill>
        </w:rPr>
        <w:fldChar w:fldCharType="end"/>
      </w:r>
    </w:p>
    <w:p>
      <w:pPr>
        <w:pStyle w:val="31"/>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_Toc11285 </w:instrText>
      </w:r>
      <w:r>
        <w:rPr>
          <w:szCs w:val="32"/>
        </w:rPr>
        <w:fldChar w:fldCharType="separate"/>
      </w:r>
      <w:r>
        <w:rPr>
          <w:rFonts w:hint="eastAsia"/>
          <w:lang w:val="en-US" w:eastAsia="zh-CN"/>
        </w:rPr>
        <w:t>1.2. 电商运营维护</w:t>
      </w:r>
      <w:r>
        <w:tab/>
      </w:r>
      <w:r>
        <w:fldChar w:fldCharType="begin"/>
      </w:r>
      <w:r>
        <w:instrText xml:space="preserve"> PAGEREF _Toc11285 \h </w:instrText>
      </w:r>
      <w:r>
        <w:fldChar w:fldCharType="separate"/>
      </w:r>
      <w:r>
        <w:t>26</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_Toc1319 </w:instrText>
      </w:r>
      <w:r>
        <w:rPr>
          <w:szCs w:val="32"/>
        </w:rPr>
        <w:fldChar w:fldCharType="separate"/>
      </w:r>
      <w:r>
        <w:rPr>
          <w:rFonts w:hint="eastAsia" w:ascii="黑体" w:hAnsi="黑体" w:eastAsia="黑体"/>
          <w:bCs w:val="0"/>
          <w:lang w:val="en-US" w:eastAsia="zh-CN"/>
        </w:rPr>
        <w:t xml:space="preserve">1.2.1. </w:t>
      </w:r>
      <w:r>
        <w:rPr>
          <w:rFonts w:hint="eastAsia"/>
          <w:lang w:val="en-US" w:eastAsia="zh-CN"/>
        </w:rPr>
        <w:t>维护内容</w:t>
      </w:r>
      <w:r>
        <w:tab/>
      </w:r>
      <w:r>
        <w:fldChar w:fldCharType="begin"/>
      </w:r>
      <w:r>
        <w:instrText xml:space="preserve"> PAGEREF _Toc1319 \h </w:instrText>
      </w:r>
      <w:r>
        <w:fldChar w:fldCharType="separate"/>
      </w:r>
      <w:r>
        <w:t>26</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_Toc2159 </w:instrText>
      </w:r>
      <w:r>
        <w:rPr>
          <w:szCs w:val="32"/>
        </w:rPr>
        <w:fldChar w:fldCharType="separate"/>
      </w:r>
      <w:r>
        <w:rPr>
          <w:rFonts w:hint="eastAsia" w:ascii="黑体" w:hAnsi="黑体" w:eastAsia="黑体"/>
          <w:bCs w:val="0"/>
          <w:lang w:val="en-US" w:eastAsia="zh-CN"/>
        </w:rPr>
        <w:t xml:space="preserve">1.2.2. </w:t>
      </w:r>
      <w:r>
        <w:rPr>
          <w:rFonts w:hint="eastAsia"/>
          <w:lang w:val="en-US" w:eastAsia="zh-CN"/>
        </w:rPr>
        <w:t>预期效果</w:t>
      </w:r>
      <w:r>
        <w:tab/>
      </w:r>
      <w:r>
        <w:fldChar w:fldCharType="begin"/>
      </w:r>
      <w:r>
        <w:instrText xml:space="preserve"> PAGEREF _Toc2159 \h </w:instrText>
      </w:r>
      <w:r>
        <w:fldChar w:fldCharType="separate"/>
      </w:r>
      <w:r>
        <w:t>26</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_Toc10513 </w:instrText>
      </w:r>
      <w:r>
        <w:rPr>
          <w:szCs w:val="32"/>
        </w:rPr>
        <w:fldChar w:fldCharType="separate"/>
      </w:r>
      <w:r>
        <w:rPr>
          <w:rFonts w:hint="eastAsia" w:ascii="黑体" w:hAnsi="黑体" w:eastAsia="黑体"/>
          <w:bCs w:val="0"/>
          <w:lang w:val="en-US" w:eastAsia="zh-CN"/>
        </w:rPr>
        <w:t xml:space="preserve">1.2.3. </w:t>
      </w:r>
      <w:r>
        <w:rPr>
          <w:rFonts w:hint="eastAsia"/>
          <w:lang w:val="en-US" w:eastAsia="zh-CN"/>
        </w:rPr>
        <w:t>电子商务服务站主要职责</w:t>
      </w:r>
      <w:r>
        <w:tab/>
      </w:r>
      <w:r>
        <w:fldChar w:fldCharType="begin"/>
      </w:r>
      <w:r>
        <w:instrText xml:space="preserve"> PAGEREF _Toc10513 \h </w:instrText>
      </w:r>
      <w:r>
        <w:fldChar w:fldCharType="separate"/>
      </w:r>
      <w:r>
        <w:t>27</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_Toc1517 </w:instrText>
      </w:r>
      <w:r>
        <w:rPr>
          <w:szCs w:val="32"/>
        </w:rPr>
        <w:fldChar w:fldCharType="separate"/>
      </w:r>
      <w:r>
        <w:rPr>
          <w:rFonts w:hint="eastAsia" w:ascii="黑体" w:hAnsi="黑体" w:eastAsia="黑体"/>
          <w:bCs w:val="0"/>
          <w:lang w:val="en-US" w:eastAsia="zh-CN"/>
        </w:rPr>
        <w:t xml:space="preserve">1.2.4. </w:t>
      </w:r>
      <w:r>
        <w:rPr>
          <w:rFonts w:hint="eastAsia"/>
          <w:lang w:val="en-US" w:eastAsia="zh-CN"/>
        </w:rPr>
        <w:t>服务人员主要职责</w:t>
      </w:r>
      <w:r>
        <w:tab/>
      </w:r>
      <w:r>
        <w:fldChar w:fldCharType="begin"/>
      </w:r>
      <w:r>
        <w:instrText xml:space="preserve"> PAGEREF _Toc1517 \h </w:instrText>
      </w:r>
      <w:r>
        <w:fldChar w:fldCharType="separate"/>
      </w:r>
      <w:r>
        <w:t>27</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_Toc14465 </w:instrText>
      </w:r>
      <w:r>
        <w:rPr>
          <w:szCs w:val="32"/>
        </w:rPr>
        <w:fldChar w:fldCharType="separate"/>
      </w:r>
      <w:r>
        <w:rPr>
          <w:rFonts w:hint="eastAsia" w:ascii="黑体" w:hAnsi="黑体" w:eastAsia="黑体"/>
          <w:bCs w:val="0"/>
          <w:lang w:val="en-US" w:eastAsia="zh-CN"/>
        </w:rPr>
        <w:t xml:space="preserve">1.2.5. </w:t>
      </w:r>
      <w:r>
        <w:rPr>
          <w:rFonts w:hint="eastAsia"/>
          <w:lang w:val="en-US" w:eastAsia="zh-CN"/>
        </w:rPr>
        <w:t>电商服务站点现有设备清单</w:t>
      </w:r>
      <w:r>
        <w:tab/>
      </w:r>
      <w:r>
        <w:fldChar w:fldCharType="begin"/>
      </w:r>
      <w:r>
        <w:instrText xml:space="preserve"> PAGEREF _Toc14465 \h </w:instrText>
      </w:r>
      <w:r>
        <w:fldChar w:fldCharType="separate"/>
      </w:r>
      <w:r>
        <w:t>27</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_Toc29948 </w:instrText>
      </w:r>
      <w:r>
        <w:rPr>
          <w:szCs w:val="32"/>
        </w:rPr>
        <w:fldChar w:fldCharType="separate"/>
      </w:r>
      <w:r>
        <w:rPr>
          <w:rFonts w:hint="eastAsia" w:ascii="黑体" w:hAnsi="黑体" w:eastAsia="黑体"/>
          <w:bCs w:val="0"/>
          <w:lang w:val="en-US" w:eastAsia="zh-CN"/>
        </w:rPr>
        <w:t xml:space="preserve">1.2.6. </w:t>
      </w:r>
      <w:r>
        <w:rPr>
          <w:rFonts w:hint="eastAsia"/>
          <w:lang w:val="en-US" w:eastAsia="zh-CN"/>
        </w:rPr>
        <w:t>维护费用的主要内容及明细</w:t>
      </w:r>
      <w:r>
        <w:tab/>
      </w:r>
      <w:r>
        <w:fldChar w:fldCharType="begin"/>
      </w:r>
      <w:r>
        <w:instrText xml:space="preserve"> PAGEREF _Toc29948 \h </w:instrText>
      </w:r>
      <w:r>
        <w:fldChar w:fldCharType="separate"/>
      </w:r>
      <w:r>
        <w:t>28</w:t>
      </w:r>
      <w:r>
        <w:fldChar w:fldCharType="end"/>
      </w:r>
      <w:r>
        <w:rPr>
          <w:color w:val="000000" w:themeColor="text1"/>
          <w:szCs w:val="32"/>
          <w14:textFill>
            <w14:solidFill>
              <w14:schemeClr w14:val="tx1"/>
            </w14:solidFill>
          </w14:textFill>
        </w:rPr>
        <w:fldChar w:fldCharType="end"/>
      </w:r>
    </w:p>
    <w:p>
      <w:pPr>
        <w:pStyle w:val="20"/>
        <w:tabs>
          <w:tab w:val="right" w:leader="dot" w:pos="8312"/>
        </w:tabs>
      </w:pPr>
      <w:r>
        <w:rPr>
          <w:color w:val="000000" w:themeColor="text1"/>
          <w:szCs w:val="32"/>
          <w14:textFill>
            <w14:solidFill>
              <w14:schemeClr w14:val="tx1"/>
            </w14:solidFill>
          </w14:textFill>
        </w:rPr>
        <w:fldChar w:fldCharType="begin"/>
      </w:r>
      <w:r>
        <w:rPr>
          <w:szCs w:val="32"/>
        </w:rPr>
        <w:instrText xml:space="preserve"> HYPERLINK \l _Toc29654 </w:instrText>
      </w:r>
      <w:r>
        <w:rPr>
          <w:szCs w:val="32"/>
        </w:rPr>
        <w:fldChar w:fldCharType="separate"/>
      </w:r>
      <w:r>
        <w:rPr>
          <w:rFonts w:hint="eastAsia" w:ascii="黑体" w:hAnsi="黑体" w:eastAsia="黑体"/>
          <w:bCs w:val="0"/>
          <w:lang w:val="en-US" w:eastAsia="zh-CN"/>
        </w:rPr>
        <w:t xml:space="preserve">1.2.7. </w:t>
      </w:r>
      <w:r>
        <w:rPr>
          <w:rFonts w:hint="eastAsia"/>
          <w:lang w:val="en-US" w:eastAsia="zh-CN"/>
        </w:rPr>
        <w:t>维护地点</w:t>
      </w:r>
      <w:r>
        <w:tab/>
      </w:r>
      <w:r>
        <w:fldChar w:fldCharType="begin"/>
      </w:r>
      <w:r>
        <w:instrText xml:space="preserve"> PAGEREF _Toc29654 \h </w:instrText>
      </w:r>
      <w:r>
        <w:fldChar w:fldCharType="separate"/>
      </w:r>
      <w:r>
        <w:t>28</w:t>
      </w:r>
      <w:r>
        <w:fldChar w:fldCharType="end"/>
      </w:r>
      <w:r>
        <w:rPr>
          <w:color w:val="000000" w:themeColor="text1"/>
          <w:szCs w:val="32"/>
          <w14:textFill>
            <w14:solidFill>
              <w14:schemeClr w14:val="tx1"/>
            </w14:solidFill>
          </w14:textFill>
        </w:rPr>
        <w:fldChar w:fldCharType="end"/>
      </w:r>
    </w:p>
    <w:p>
      <w:pPr>
        <w:pStyle w:val="20"/>
        <w:tabs>
          <w:tab w:val="right" w:leader="dot" w:pos="8312"/>
        </w:tabs>
      </w:pPr>
    </w:p>
    <w:p>
      <w:pPr>
        <w:pStyle w:val="31"/>
        <w:tabs>
          <w:tab w:val="right" w:leader="dot" w:pos="8302"/>
        </w:tabs>
        <w:ind w:left="480" w:firstLine="480"/>
        <w:rPr>
          <w:color w:val="000000" w:themeColor="text1"/>
          <w:szCs w:val="32"/>
          <w14:textFill>
            <w14:solidFill>
              <w14:schemeClr w14:val="tx1"/>
            </w14:solidFill>
          </w14:textFill>
        </w:rPr>
      </w:pPr>
      <w:r>
        <w:rPr>
          <w:color w:val="000000" w:themeColor="text1"/>
          <w:szCs w:val="32"/>
          <w14:textFill>
            <w14:solidFill>
              <w14:schemeClr w14:val="tx1"/>
            </w14:solidFill>
          </w14:textFill>
        </w:rPr>
        <w:fldChar w:fldCharType="end"/>
      </w:r>
      <w:bookmarkStart w:id="2" w:name="_Toc333997887"/>
      <w:bookmarkStart w:id="3" w:name="_Toc353788119"/>
    </w:p>
    <w:p>
      <w:pPr>
        <w:ind w:firstLine="0" w:firstLineChars="0"/>
        <w:rPr>
          <w:color w:val="000000" w:themeColor="text1"/>
          <w:szCs w:val="32"/>
          <w14:textFill>
            <w14:solidFill>
              <w14:schemeClr w14:val="tx1"/>
            </w14:solidFill>
          </w14:textFill>
        </w:rPr>
      </w:pPr>
      <w:r>
        <w:rPr>
          <w:color w:val="000000" w:themeColor="text1"/>
          <w:szCs w:val="32"/>
          <w14:textFill>
            <w14:solidFill>
              <w14:schemeClr w14:val="tx1"/>
            </w14:solidFill>
          </w14:textFill>
        </w:rPr>
        <w:br w:type="page"/>
      </w:r>
    </w:p>
    <w:p>
      <w:pPr>
        <w:ind w:firstLine="0" w:firstLineChars="0"/>
        <w:rPr>
          <w:color w:val="000000" w:themeColor="text1"/>
          <w:szCs w:val="32"/>
          <w14:textFill>
            <w14:solidFill>
              <w14:schemeClr w14:val="tx1"/>
            </w14:solidFill>
          </w14:textFill>
        </w:rPr>
        <w:sectPr>
          <w:headerReference r:id="rId9" w:type="first"/>
          <w:footerReference r:id="rId11" w:type="first"/>
          <w:headerReference r:id="rId8" w:type="default"/>
          <w:footerReference r:id="rId10" w:type="default"/>
          <w:pgSz w:w="11906" w:h="16838"/>
          <w:pgMar w:top="1440" w:right="1797" w:bottom="1440" w:left="1797" w:header="850" w:footer="992" w:gutter="0"/>
          <w:pgBorders>
            <w:top w:val="none" w:sz="0" w:space="0"/>
            <w:left w:val="none" w:sz="0" w:space="0"/>
            <w:bottom w:val="none" w:sz="0" w:space="0"/>
            <w:right w:val="none" w:sz="0" w:space="0"/>
          </w:pgBorders>
          <w:pgNumType w:fmt="upperRoman" w:start="1"/>
          <w:cols w:space="425" w:num="1"/>
          <w:titlePg/>
          <w:docGrid w:type="lines" w:linePitch="326" w:charSpace="0"/>
        </w:sectPr>
      </w:pPr>
    </w:p>
    <w:p>
      <w:pPr>
        <w:pStyle w:val="3"/>
        <w:numPr>
          <w:ilvl w:val="0"/>
          <w:numId w:val="0"/>
        </w:numPr>
        <w:tabs>
          <w:tab w:val="clear" w:pos="3402"/>
          <w:tab w:val="clear" w:pos="3828"/>
        </w:tabs>
        <w:ind w:left="432" w:leftChars="0"/>
        <w:jc w:val="center"/>
        <w:rPr>
          <w:rFonts w:hint="default" w:ascii="Times New Roman" w:hAnsi="Times New Roman"/>
          <w:color w:val="000000" w:themeColor="text1"/>
          <w:sz w:val="36"/>
          <w:szCs w:val="36"/>
          <w:lang w:val="en-US" w:eastAsia="zh-CN"/>
          <w14:textFill>
            <w14:solidFill>
              <w14:schemeClr w14:val="tx1"/>
            </w14:solidFill>
          </w14:textFill>
        </w:rPr>
      </w:pPr>
      <w:bookmarkStart w:id="4" w:name="_Toc5620"/>
      <w:bookmarkStart w:id="5" w:name="_Toc27935548"/>
      <w:bookmarkStart w:id="6" w:name="_Toc27679922"/>
      <w:bookmarkStart w:id="7" w:name="_Hlk22669502"/>
      <w:r>
        <w:rPr>
          <w:rFonts w:hint="eastAsia" w:ascii="Times New Roman" w:hAnsi="Times New Roman"/>
          <w:color w:val="000000" w:themeColor="text1"/>
          <w:sz w:val="36"/>
          <w:szCs w:val="36"/>
          <w:lang w:val="en-US" w:eastAsia="zh-CN"/>
          <w14:textFill>
            <w14:solidFill>
              <w14:schemeClr w14:val="tx1"/>
            </w14:solidFill>
          </w14:textFill>
        </w:rPr>
        <w:t>前言</w:t>
      </w:r>
      <w:bookmarkEnd w:id="4"/>
    </w:p>
    <w:p>
      <w:pPr>
        <w:keepNext w:val="0"/>
        <w:keepLines w:val="0"/>
        <w:pageBreakBefore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本项目分为四部分：</w:t>
      </w:r>
    </w:p>
    <w:p>
      <w:pPr>
        <w:keepNext w:val="0"/>
        <w:keepLines w:val="0"/>
        <w:pageBreakBefore w:val="0"/>
        <w:numPr>
          <w:ilvl w:val="0"/>
          <w:numId w:val="7"/>
        </w:numPr>
        <w:kinsoku/>
        <w:wordWrap/>
        <w:overflowPunct/>
        <w:topLinePunct w:val="0"/>
        <w:autoSpaceDE/>
        <w:autoSpaceDN/>
        <w:bidi w:val="0"/>
        <w:adjustRightInd/>
        <w:snapToGrid/>
        <w:ind w:firstLine="480"/>
        <w:textAlignment w:val="auto"/>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和平县乡村振兴农产品展销管理平台运营服务。</w:t>
      </w:r>
    </w:p>
    <w:p>
      <w:pPr>
        <w:pStyle w:val="16"/>
        <w:keepNext w:val="0"/>
        <w:keepLines w:val="0"/>
        <w:pageBreakBefore w:val="0"/>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lang w:val="en-US" w:eastAsia="zh-CN"/>
        </w:rPr>
        <w:t>包含农产品展销管理平台系统软件开发建设；平台对接开发建设（支付平台、物流平台、发票平台、溯源系统）；大屏数据中心软件开发建设。</w:t>
      </w:r>
    </w:p>
    <w:p>
      <w:pPr>
        <w:keepNext w:val="0"/>
        <w:keepLines w:val="0"/>
        <w:pageBreakBefore w:val="0"/>
        <w:numPr>
          <w:ilvl w:val="0"/>
          <w:numId w:val="7"/>
        </w:numPr>
        <w:kinsoku/>
        <w:wordWrap/>
        <w:overflowPunct/>
        <w:topLinePunct w:val="0"/>
        <w:autoSpaceDE/>
        <w:autoSpaceDN/>
        <w:bidi w:val="0"/>
        <w:adjustRightInd/>
        <w:snapToGrid/>
        <w:ind w:firstLine="480"/>
        <w:textAlignment w:val="auto"/>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和平县乡村振兴农产品展销管理平台人员服务。</w:t>
      </w:r>
    </w:p>
    <w:p>
      <w:pPr>
        <w:pStyle w:val="16"/>
        <w:keepNext w:val="0"/>
        <w:keepLines w:val="0"/>
        <w:pageBreakBefore w:val="0"/>
        <w:kinsoku/>
        <w:wordWrap/>
        <w:overflowPunct/>
        <w:topLinePunct w:val="0"/>
        <w:autoSpaceDE/>
        <w:autoSpaceDN/>
        <w:bidi w:val="0"/>
        <w:adjustRightInd/>
        <w:snapToGrid/>
        <w:spacing w:after="0"/>
        <w:ind w:firstLine="480" w:firstLineChars="200"/>
        <w:textAlignment w:val="auto"/>
        <w:rPr>
          <w:rFonts w:hint="default"/>
          <w:lang w:val="en-US" w:eastAsia="zh-CN"/>
        </w:rPr>
      </w:pPr>
      <w:r>
        <w:rPr>
          <w:rFonts w:hint="eastAsia" w:ascii="宋体" w:hAnsi="宋体" w:eastAsia="宋体" w:cs="宋体"/>
          <w:i w:val="0"/>
          <w:iCs w:val="0"/>
          <w:color w:val="000000"/>
          <w:kern w:val="0"/>
          <w:sz w:val="24"/>
          <w:szCs w:val="24"/>
          <w:u w:val="none"/>
          <w:lang w:val="en-US" w:eastAsia="zh-CN" w:bidi="ar"/>
        </w:rPr>
        <w:t>包含农产品展销管理平台人员服务（运营主管、运营专员、美工设计、客服人员、财务人员、推广专员、信息数据专员、物流统筹员</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品控人员）。</w:t>
      </w:r>
    </w:p>
    <w:p>
      <w:pPr>
        <w:keepNext w:val="0"/>
        <w:keepLines w:val="0"/>
        <w:pageBreakBefore w:val="0"/>
        <w:numPr>
          <w:ilvl w:val="0"/>
          <w:numId w:val="7"/>
        </w:numPr>
        <w:kinsoku/>
        <w:wordWrap/>
        <w:overflowPunct/>
        <w:topLinePunct w:val="0"/>
        <w:autoSpaceDE/>
        <w:autoSpaceDN/>
        <w:bidi w:val="0"/>
        <w:adjustRightInd/>
        <w:snapToGrid/>
        <w:ind w:firstLine="480"/>
        <w:textAlignment w:val="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和平县农产品上行体系建设。</w:t>
      </w:r>
    </w:p>
    <w:p>
      <w:pPr>
        <w:pStyle w:val="16"/>
        <w:keepNext w:val="0"/>
        <w:keepLines w:val="0"/>
        <w:pageBreakBefore w:val="0"/>
        <w:kinsoku/>
        <w:wordWrap/>
        <w:overflowPunct/>
        <w:topLinePunct w:val="0"/>
        <w:autoSpaceDE/>
        <w:autoSpaceDN/>
        <w:bidi w:val="0"/>
        <w:adjustRightInd/>
        <w:snapToGrid/>
        <w:spacing w:after="0"/>
        <w:ind w:firstLine="480" w:firstLineChars="200"/>
        <w:textAlignment w:val="auto"/>
        <w:rPr>
          <w:rFonts w:hint="default"/>
          <w:lang w:val="en-US" w:eastAsia="zh-CN"/>
        </w:rPr>
      </w:pPr>
      <w:r>
        <w:rPr>
          <w:rFonts w:hint="eastAsia" w:ascii="宋体" w:hAnsi="宋体" w:eastAsia="宋体" w:cs="宋体"/>
          <w:i w:val="0"/>
          <w:iCs w:val="0"/>
          <w:color w:val="000000"/>
          <w:kern w:val="0"/>
          <w:sz w:val="24"/>
          <w:szCs w:val="24"/>
          <w:u w:val="none"/>
          <w:lang w:val="en-US" w:eastAsia="zh-CN" w:bidi="ar"/>
        </w:rPr>
        <w:t>包含农产品加工和认证中心场地改造、设备配置；农产品品牌策划推广及包装设计服务；电商直播基地场地改造、设备配置；抖音短视频拍摄制作服务。</w:t>
      </w:r>
    </w:p>
    <w:p>
      <w:pPr>
        <w:keepNext w:val="0"/>
        <w:keepLines w:val="0"/>
        <w:pageBreakBefore w:val="0"/>
        <w:numPr>
          <w:ilvl w:val="0"/>
          <w:numId w:val="7"/>
        </w:numPr>
        <w:kinsoku/>
        <w:wordWrap/>
        <w:overflowPunct/>
        <w:topLinePunct w:val="0"/>
        <w:autoSpaceDE/>
        <w:autoSpaceDN/>
        <w:bidi w:val="0"/>
        <w:adjustRightInd/>
        <w:snapToGrid/>
        <w:ind w:firstLine="480"/>
        <w:textAlignment w:val="auto"/>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电商运营维护。</w:t>
      </w:r>
    </w:p>
    <w:p>
      <w:pPr>
        <w:pStyle w:val="16"/>
        <w:keepNext w:val="0"/>
        <w:keepLines w:val="0"/>
        <w:pageBreakBefore w:val="0"/>
        <w:kinsoku/>
        <w:wordWrap/>
        <w:overflowPunct/>
        <w:topLinePunct w:val="0"/>
        <w:autoSpaceDE/>
        <w:autoSpaceDN/>
        <w:bidi w:val="0"/>
        <w:adjustRightInd/>
        <w:snapToGrid/>
        <w:spacing w:after="0"/>
        <w:ind w:firstLine="480" w:firstLineChars="200"/>
        <w:textAlignment w:val="auto"/>
        <w:rPr>
          <w:rFonts w:hint="default"/>
          <w:lang w:val="en-US" w:eastAsia="zh-CN"/>
        </w:rPr>
      </w:pPr>
      <w:r>
        <w:rPr>
          <w:rFonts w:hint="eastAsia" w:ascii="宋体" w:hAnsi="宋体" w:eastAsia="宋体" w:cs="宋体"/>
          <w:i w:val="0"/>
          <w:iCs w:val="0"/>
          <w:color w:val="000000"/>
          <w:kern w:val="0"/>
          <w:sz w:val="24"/>
          <w:szCs w:val="24"/>
          <w:u w:val="none"/>
          <w:lang w:val="en-US" w:eastAsia="zh-CN" w:bidi="ar"/>
        </w:rPr>
        <w:t>包含电商服务站点维护管理（电子设备维修、更换、广告宣传维护）。</w:t>
      </w:r>
    </w:p>
    <w:p>
      <w:pPr>
        <w:pStyle w:val="16"/>
        <w:keepNext w:val="0"/>
        <w:keepLines w:val="0"/>
        <w:pageBreakBefore w:val="0"/>
        <w:kinsoku/>
        <w:wordWrap/>
        <w:overflowPunct/>
        <w:topLinePunct w:val="0"/>
        <w:autoSpaceDE/>
        <w:autoSpaceDN/>
        <w:bidi w:val="0"/>
        <w:adjustRightInd/>
        <w:snapToGrid/>
        <w:spacing w:after="0"/>
        <w:ind w:firstLine="480" w:firstLineChars="200"/>
        <w:textAlignment w:val="auto"/>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其中</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一</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）部分为乡村振兴</w:t>
      </w:r>
      <w:r>
        <w:rPr>
          <w:rFonts w:hint="eastAsia" w:cs="宋体"/>
          <w:lang w:val="en-US" w:eastAsia="zh-CN"/>
        </w:rPr>
        <w:t>产品</w:t>
      </w:r>
      <w:r>
        <w:rPr>
          <w:rFonts w:hint="eastAsia" w:ascii="宋体" w:hAnsi="宋体" w:eastAsia="宋体" w:cs="宋体"/>
          <w:i w:val="0"/>
          <w:iCs w:val="0"/>
          <w:color w:val="000000"/>
          <w:kern w:val="0"/>
          <w:sz w:val="24"/>
          <w:szCs w:val="24"/>
          <w:u w:val="none"/>
          <w:lang w:val="en-US" w:eastAsia="zh-CN" w:bidi="ar"/>
        </w:rPr>
        <w:t>公共服务系统平台建设内容</w:t>
      </w:r>
      <w:r>
        <w:rPr>
          <w:rFonts w:hint="eastAsia" w:ascii="宋体" w:hAnsi="宋体" w:cs="宋体"/>
          <w:i w:val="0"/>
          <w:iCs w:val="0"/>
          <w:color w:val="000000"/>
          <w:kern w:val="0"/>
          <w:sz w:val="24"/>
          <w:szCs w:val="24"/>
          <w:u w:val="none"/>
          <w:lang w:val="en-US" w:eastAsia="zh-CN" w:bidi="ar"/>
        </w:rPr>
        <w:t>，</w:t>
      </w:r>
      <w:r>
        <w:rPr>
          <w:rFonts w:hint="eastAsia" w:ascii="宋体" w:hAnsi="宋体" w:cs="宋体"/>
          <w:b/>
          <w:bCs/>
          <w:i w:val="0"/>
          <w:iCs w:val="0"/>
          <w:color w:val="000000"/>
          <w:kern w:val="0"/>
          <w:sz w:val="24"/>
          <w:szCs w:val="24"/>
          <w:u w:val="none"/>
          <w:lang w:val="en-US" w:eastAsia="zh-CN" w:bidi="ar"/>
        </w:rPr>
        <w:t>属于信息化建设部分，详见第一部分信息化建设方案</w:t>
      </w:r>
      <w:r>
        <w:rPr>
          <w:rFonts w:hint="eastAsia" w:ascii="宋体" w:hAnsi="宋体" w:eastAsia="宋体" w:cs="宋体"/>
          <w:i w:val="0"/>
          <w:iCs w:val="0"/>
          <w:color w:val="000000"/>
          <w:kern w:val="0"/>
          <w:sz w:val="24"/>
          <w:szCs w:val="24"/>
          <w:u w:val="none"/>
          <w:lang w:val="en-US" w:eastAsia="zh-CN" w:bidi="ar"/>
        </w:rPr>
        <w:t>。</w:t>
      </w:r>
    </w:p>
    <w:p>
      <w:pPr>
        <w:pStyle w:val="16"/>
        <w:keepNext w:val="0"/>
        <w:keepLines w:val="0"/>
        <w:pageBreakBefore w:val="0"/>
        <w:kinsoku/>
        <w:wordWrap/>
        <w:overflowPunct/>
        <w:topLinePunct w:val="0"/>
        <w:autoSpaceDE/>
        <w:autoSpaceDN/>
        <w:bidi w:val="0"/>
        <w:adjustRightInd/>
        <w:snapToGrid/>
        <w:spacing w:after="0"/>
        <w:ind w:firstLine="480" w:firstLineChars="200"/>
        <w:textAlignment w:val="auto"/>
        <w:rPr>
          <w:rFonts w:hint="default"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三</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四</w:t>
      </w:r>
      <w:r>
        <w:rPr>
          <w:rFonts w:hint="eastAsia" w:ascii="宋体" w:hAnsi="宋体" w:eastAsia="宋体" w:cs="宋体"/>
          <w:i w:val="0"/>
          <w:iCs w:val="0"/>
          <w:color w:val="000000"/>
          <w:kern w:val="0"/>
          <w:sz w:val="24"/>
          <w:szCs w:val="24"/>
          <w:u w:val="none"/>
          <w:lang w:val="en-US" w:eastAsia="zh-CN" w:bidi="ar"/>
        </w:rPr>
        <w:t>）部分为电子商务农产品上行体系建设内容</w:t>
      </w:r>
      <w:r>
        <w:rPr>
          <w:rFonts w:hint="eastAsia" w:ascii="宋体" w:hAnsi="宋体" w:cs="宋体"/>
          <w:i w:val="0"/>
          <w:iCs w:val="0"/>
          <w:color w:val="000000"/>
          <w:kern w:val="0"/>
          <w:sz w:val="24"/>
          <w:szCs w:val="24"/>
          <w:u w:val="none"/>
          <w:lang w:val="en-US" w:eastAsia="zh-CN" w:bidi="ar"/>
        </w:rPr>
        <w:t>，</w:t>
      </w:r>
      <w:r>
        <w:rPr>
          <w:rFonts w:hint="eastAsia" w:ascii="宋体" w:hAnsi="宋体" w:cs="宋体"/>
          <w:b/>
          <w:bCs/>
          <w:i w:val="0"/>
          <w:iCs w:val="0"/>
          <w:color w:val="000000"/>
          <w:kern w:val="0"/>
          <w:sz w:val="24"/>
          <w:szCs w:val="24"/>
          <w:u w:val="none"/>
          <w:lang w:val="en-US" w:eastAsia="zh-CN" w:bidi="ar"/>
        </w:rPr>
        <w:t>属于非信息化建设部分，详见第二部分非信息化建设方案</w:t>
      </w:r>
      <w:r>
        <w:rPr>
          <w:rFonts w:hint="eastAsia" w:ascii="宋体" w:hAnsi="宋体" w:cs="宋体"/>
          <w:i w:val="0"/>
          <w:iCs w:val="0"/>
          <w:color w:val="000000"/>
          <w:kern w:val="0"/>
          <w:sz w:val="24"/>
          <w:szCs w:val="24"/>
          <w:u w:val="none"/>
          <w:lang w:val="en-US" w:eastAsia="zh-CN" w:bidi="ar"/>
        </w:rPr>
        <w:t>。</w:t>
      </w:r>
    </w:p>
    <w:p>
      <w:pPr>
        <w:pStyle w:val="3"/>
        <w:numPr>
          <w:ilvl w:val="0"/>
          <w:numId w:val="0"/>
        </w:numPr>
        <w:tabs>
          <w:tab w:val="clear" w:pos="3402"/>
          <w:tab w:val="clear" w:pos="3828"/>
        </w:tabs>
        <w:ind w:left="432" w:leftChars="0"/>
        <w:jc w:val="center"/>
        <w:rPr>
          <w:rFonts w:hint="default" w:ascii="Times New Roman" w:hAnsi="Times New Roman" w:eastAsia="黑体"/>
          <w:color w:val="000000" w:themeColor="text1"/>
          <w:sz w:val="36"/>
          <w:szCs w:val="36"/>
          <w:lang w:val="en-US" w:eastAsia="zh-CN"/>
          <w14:textFill>
            <w14:solidFill>
              <w14:schemeClr w14:val="tx1"/>
            </w14:solidFill>
          </w14:textFill>
        </w:rPr>
      </w:pPr>
      <w:bookmarkStart w:id="8" w:name="_Toc31891"/>
      <w:r>
        <w:rPr>
          <w:rFonts w:hint="eastAsia" w:ascii="Times New Roman" w:hAnsi="Times New Roman"/>
          <w:color w:val="000000" w:themeColor="text1"/>
          <w:sz w:val="36"/>
          <w:szCs w:val="36"/>
          <w:lang w:val="en-US" w:eastAsia="zh-CN"/>
          <w14:textFill>
            <w14:solidFill>
              <w14:schemeClr w14:val="tx1"/>
            </w14:solidFill>
          </w14:textFill>
        </w:rPr>
        <w:t>第一部分  信息化建设方案</w:t>
      </w:r>
      <w:bookmarkEnd w:id="8"/>
    </w:p>
    <w:p>
      <w:pPr>
        <w:pStyle w:val="3"/>
        <w:keepNext/>
        <w:keepLines/>
        <w:pageBreakBefore w:val="0"/>
        <w:widowControl w:val="0"/>
        <w:tabs>
          <w:tab w:val="clear" w:pos="3402"/>
          <w:tab w:val="clear" w:pos="3828"/>
        </w:tabs>
        <w:kinsoku/>
        <w:wordWrap/>
        <w:overflowPunct/>
        <w:topLinePunct w:val="0"/>
        <w:autoSpaceDE/>
        <w:autoSpaceDN/>
        <w:bidi w:val="0"/>
        <w:adjustRightInd/>
        <w:snapToGrid/>
        <w:ind w:left="431"/>
        <w:textAlignment w:val="auto"/>
        <w:rPr>
          <w:rFonts w:ascii="Times New Roman" w:hAnsi="Times New Roman"/>
          <w:color w:val="000000" w:themeColor="text1"/>
          <w:szCs w:val="32"/>
          <w14:textFill>
            <w14:solidFill>
              <w14:schemeClr w14:val="tx1"/>
            </w14:solidFill>
          </w14:textFill>
        </w:rPr>
      </w:pPr>
      <w:bookmarkStart w:id="9" w:name="_Toc11650"/>
      <w:r>
        <w:rPr>
          <w:rFonts w:hint="eastAsia" w:ascii="Times New Roman" w:hAnsi="Times New Roman"/>
          <w:color w:val="000000" w:themeColor="text1"/>
          <w:szCs w:val="32"/>
          <w14:textFill>
            <w14:solidFill>
              <w14:schemeClr w14:val="tx1"/>
            </w14:solidFill>
          </w14:textFill>
        </w:rPr>
        <w:t>项目概述</w:t>
      </w:r>
      <w:bookmarkEnd w:id="5"/>
      <w:bookmarkEnd w:id="6"/>
      <w:bookmarkEnd w:id="9"/>
    </w:p>
    <w:p>
      <w:pPr>
        <w:pStyle w:val="4"/>
        <w:rPr>
          <w:color w:val="000000" w:themeColor="text1"/>
          <w14:textFill>
            <w14:solidFill>
              <w14:schemeClr w14:val="tx1"/>
            </w14:solidFill>
          </w14:textFill>
        </w:rPr>
      </w:pPr>
      <w:bookmarkStart w:id="10" w:name="_Toc27679923"/>
      <w:bookmarkStart w:id="11" w:name="_Toc27935549"/>
      <w:bookmarkStart w:id="12" w:name="_Toc22653"/>
      <w:r>
        <w:rPr>
          <w:rFonts w:hint="eastAsia"/>
          <w:color w:val="000000" w:themeColor="text1"/>
          <w14:textFill>
            <w14:solidFill>
              <w14:schemeClr w14:val="tx1"/>
            </w14:solidFill>
          </w14:textFill>
        </w:rPr>
        <w:t>项目名称</w:t>
      </w:r>
      <w:bookmarkEnd w:id="10"/>
      <w:bookmarkEnd w:id="11"/>
      <w:bookmarkEnd w:id="12"/>
    </w:p>
    <w:p>
      <w:pPr>
        <w:ind w:firstLine="480"/>
        <w:rPr>
          <w:rFonts w:hint="default"/>
          <w:color w:val="000000" w:themeColor="text1"/>
          <w:szCs w:val="28"/>
          <w:lang w:val="en-US"/>
          <w14:textFill>
            <w14:solidFill>
              <w14:schemeClr w14:val="tx1"/>
            </w14:solidFill>
          </w14:textFill>
        </w:rPr>
      </w:pPr>
      <w:r>
        <w:rPr>
          <w:rFonts w:hint="eastAsia"/>
          <w:color w:val="000000" w:themeColor="text1"/>
          <w:szCs w:val="28"/>
          <w:lang w:val="zh-CN"/>
          <w14:textFill>
            <w14:solidFill>
              <w14:schemeClr w14:val="tx1"/>
            </w14:solidFill>
          </w14:textFill>
        </w:rPr>
        <w:t>项目名称:</w:t>
      </w:r>
      <w:r>
        <w:rPr>
          <w:rFonts w:hint="eastAsia" w:ascii="宋体" w:hAnsi="宋体" w:eastAsia="宋体" w:cs="Times New Roman"/>
          <w:bCs/>
          <w:color w:val="000000" w:themeColor="text1"/>
          <w:kern w:val="0"/>
          <w:sz w:val="24"/>
          <w:szCs w:val="24"/>
          <w:lang w:val="en-US" w:eastAsia="zh-CN" w:bidi="ar-SA"/>
          <w14:textFill>
            <w14:solidFill>
              <w14:schemeClr w14:val="tx1"/>
            </w14:solidFill>
          </w14:textFill>
        </w:rPr>
        <w:t>和平县电子商务农产品上行体系及乡村振兴</w:t>
      </w:r>
      <w:r>
        <w:rPr>
          <w:rFonts w:hint="eastAsia" w:cs="Times New Roman"/>
          <w:bCs/>
          <w:color w:val="000000" w:themeColor="text1"/>
          <w:kern w:val="0"/>
          <w:sz w:val="24"/>
          <w:szCs w:val="24"/>
          <w:lang w:val="en-US" w:eastAsia="zh-CN" w:bidi="ar-SA"/>
          <w14:textFill>
            <w14:solidFill>
              <w14:schemeClr w14:val="tx1"/>
            </w14:solidFill>
          </w14:textFill>
        </w:rPr>
        <w:t>产品</w:t>
      </w:r>
      <w:r>
        <w:rPr>
          <w:rFonts w:hint="eastAsia" w:ascii="宋体" w:hAnsi="宋体" w:eastAsia="宋体" w:cs="Times New Roman"/>
          <w:bCs/>
          <w:color w:val="000000" w:themeColor="text1"/>
          <w:kern w:val="0"/>
          <w:sz w:val="24"/>
          <w:szCs w:val="24"/>
          <w:lang w:val="en-US" w:eastAsia="zh-CN" w:bidi="ar-SA"/>
          <w14:textFill>
            <w14:solidFill>
              <w14:schemeClr w14:val="tx1"/>
            </w14:solidFill>
          </w14:textFill>
        </w:rPr>
        <w:t>公共服务系统平台项目</w:t>
      </w:r>
    </w:p>
    <w:p>
      <w:pPr>
        <w:pStyle w:val="4"/>
        <w:rPr>
          <w:color w:val="000000" w:themeColor="text1"/>
          <w14:textFill>
            <w14:solidFill>
              <w14:schemeClr w14:val="tx1"/>
            </w14:solidFill>
          </w14:textFill>
        </w:rPr>
      </w:pPr>
      <w:bookmarkStart w:id="13" w:name="_Toc6565"/>
      <w:bookmarkStart w:id="14" w:name="_Toc27679924"/>
      <w:bookmarkStart w:id="15" w:name="_Toc27935550"/>
      <w:r>
        <w:rPr>
          <w:rFonts w:hint="eastAsia"/>
          <w:color w:val="000000" w:themeColor="text1"/>
          <w14:textFill>
            <w14:solidFill>
              <w14:schemeClr w14:val="tx1"/>
            </w14:solidFill>
          </w14:textFill>
        </w:rPr>
        <w:t>项目性质</w:t>
      </w:r>
      <w:bookmarkEnd w:id="13"/>
      <w:bookmarkEnd w:id="14"/>
      <w:bookmarkEnd w:id="15"/>
    </w:p>
    <w:p>
      <w:pPr>
        <w:ind w:firstLine="480"/>
        <w:rPr>
          <w:color w:val="000000" w:themeColor="text1"/>
          <w:szCs w:val="28"/>
          <w:lang w:val="zh-CN"/>
          <w14:textFill>
            <w14:solidFill>
              <w14:schemeClr w14:val="tx1"/>
            </w14:solidFill>
          </w14:textFill>
        </w:rPr>
      </w:pPr>
      <w:r>
        <w:rPr>
          <w:rFonts w:hint="eastAsia"/>
          <w:color w:val="000000" w:themeColor="text1"/>
          <w:szCs w:val="28"/>
          <w:lang w:val="en-US" w:eastAsia="zh-CN"/>
          <w14:textFill>
            <w14:solidFill>
              <w14:schemeClr w14:val="tx1"/>
            </w14:solidFill>
          </w14:textFill>
        </w:rPr>
        <w:t>新建</w:t>
      </w:r>
      <w:r>
        <w:rPr>
          <w:rFonts w:hint="eastAsia"/>
          <w:color w:val="000000" w:themeColor="text1"/>
          <w:szCs w:val="28"/>
          <w:lang w:val="zh-CN"/>
          <w14:textFill>
            <w14:solidFill>
              <w14:schemeClr w14:val="tx1"/>
            </w14:solidFill>
          </w14:textFill>
        </w:rPr>
        <w:t>。</w:t>
      </w:r>
    </w:p>
    <w:p>
      <w:pPr>
        <w:pStyle w:val="4"/>
        <w:rPr>
          <w:color w:val="000000" w:themeColor="text1"/>
          <w14:textFill>
            <w14:solidFill>
              <w14:schemeClr w14:val="tx1"/>
            </w14:solidFill>
          </w14:textFill>
        </w:rPr>
      </w:pPr>
      <w:bookmarkStart w:id="16" w:name="_Toc27935551"/>
      <w:bookmarkStart w:id="17" w:name="_Toc27679925"/>
      <w:bookmarkStart w:id="18" w:name="_Toc23957"/>
      <w:r>
        <w:rPr>
          <w:rFonts w:hint="eastAsia"/>
          <w:color w:val="000000" w:themeColor="text1"/>
          <w14:textFill>
            <w14:solidFill>
              <w14:schemeClr w14:val="tx1"/>
            </w14:solidFill>
          </w14:textFill>
        </w:rPr>
        <w:t>项目单位及方案编制机构</w:t>
      </w:r>
      <w:bookmarkEnd w:id="16"/>
      <w:bookmarkEnd w:id="17"/>
      <w:r>
        <w:rPr>
          <w:rFonts w:hint="eastAsia"/>
          <w:color w:val="000000" w:themeColor="text1"/>
          <w14:textFill>
            <w14:solidFill>
              <w14:schemeClr w14:val="tx1"/>
            </w14:solidFill>
          </w14:textFill>
        </w:rPr>
        <w:t>信息</w:t>
      </w:r>
      <w:bookmarkEnd w:id="18"/>
    </w:p>
    <w:p>
      <w:pPr>
        <w:pStyle w:val="145"/>
        <w:keepNext w:val="0"/>
        <w:keepLines w:val="0"/>
        <w:pageBreakBefore w:val="0"/>
        <w:widowControl w:val="0"/>
        <w:kinsoku/>
        <w:wordWrap/>
        <w:overflowPunct/>
        <w:topLinePunct w:val="0"/>
        <w:autoSpaceDE/>
        <w:autoSpaceDN/>
        <w:bidi w:val="0"/>
        <w:adjustRightInd/>
        <w:snapToGrid/>
        <w:ind w:left="0" w:leftChars="0" w:firstLine="454" w:firstLineChars="0"/>
        <w:textAlignment w:val="auto"/>
        <w:rPr>
          <w:lang w:val="zh-CN"/>
        </w:rPr>
      </w:pPr>
      <w:r>
        <w:rPr>
          <w:rFonts w:hint="eastAsia"/>
          <w:lang w:val="zh-CN"/>
        </w:rPr>
        <w:t>项目建设</w:t>
      </w:r>
      <w:r>
        <w:rPr>
          <w:rFonts w:hint="eastAsia"/>
          <w:lang w:val="en-US" w:eastAsia="zh-CN"/>
        </w:rPr>
        <w:t>主导</w:t>
      </w:r>
      <w:r>
        <w:rPr>
          <w:rFonts w:hint="eastAsia"/>
          <w:lang w:val="zh-CN"/>
        </w:rPr>
        <w:t>单位：</w:t>
      </w:r>
      <w:r>
        <w:rPr>
          <w:rFonts w:hint="eastAsia" w:ascii="宋体" w:hAnsi="宋体"/>
          <w:color w:val="000000" w:themeColor="text1"/>
          <w:szCs w:val="24"/>
          <w14:textFill>
            <w14:solidFill>
              <w14:schemeClr w14:val="tx1"/>
            </w14:solidFill>
          </w14:textFill>
        </w:rPr>
        <w:t>和平县工业商务和信息化局</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和平县乡村振兴局</w:t>
      </w:r>
    </w:p>
    <w:p>
      <w:pPr>
        <w:pStyle w:val="145"/>
        <w:keepNext w:val="0"/>
        <w:keepLines w:val="0"/>
        <w:pageBreakBefore w:val="0"/>
        <w:widowControl w:val="0"/>
        <w:kinsoku/>
        <w:wordWrap/>
        <w:overflowPunct/>
        <w:topLinePunct w:val="0"/>
        <w:autoSpaceDE/>
        <w:autoSpaceDN/>
        <w:bidi w:val="0"/>
        <w:adjustRightInd/>
        <w:snapToGrid/>
        <w:ind w:left="0" w:leftChars="0" w:firstLine="454" w:firstLineChars="0"/>
        <w:textAlignment w:val="auto"/>
        <w:rPr>
          <w:lang w:val="zh-CN"/>
        </w:rPr>
      </w:pPr>
      <w:r>
        <w:rPr>
          <w:rFonts w:hint="eastAsia"/>
          <w:color w:val="000000" w:themeColor="text1"/>
          <w:szCs w:val="24"/>
          <w:lang w:val="en-US" w:eastAsia="zh-CN"/>
          <w14:textFill>
            <w14:solidFill>
              <w14:schemeClr w14:val="tx1"/>
            </w14:solidFill>
          </w14:textFill>
        </w:rPr>
        <w:t>项目建设主导单位</w:t>
      </w:r>
      <w:r>
        <w:rPr>
          <w:rFonts w:hint="eastAsia"/>
          <w:lang w:val="zh-CN"/>
        </w:rPr>
        <w:t>负责人：梁星火</w:t>
      </w:r>
    </w:p>
    <w:p>
      <w:pPr>
        <w:pStyle w:val="145"/>
        <w:keepNext w:val="0"/>
        <w:keepLines w:val="0"/>
        <w:pageBreakBefore w:val="0"/>
        <w:widowControl w:val="0"/>
        <w:kinsoku/>
        <w:wordWrap/>
        <w:overflowPunct/>
        <w:topLinePunct w:val="0"/>
        <w:autoSpaceDE/>
        <w:autoSpaceDN/>
        <w:bidi w:val="0"/>
        <w:adjustRightInd/>
        <w:snapToGrid/>
        <w:ind w:left="0" w:leftChars="0" w:firstLine="454" w:firstLineChars="0"/>
        <w:textAlignment w:val="auto"/>
        <w:rPr>
          <w:lang w:val="zh-CN"/>
        </w:rPr>
      </w:pPr>
      <w:r>
        <w:rPr>
          <w:rFonts w:hint="eastAsia"/>
          <w:lang w:val="en-US" w:eastAsia="zh-CN"/>
        </w:rPr>
        <w:t>项目负责人：</w:t>
      </w:r>
      <w:r>
        <w:rPr>
          <w:rFonts w:hint="eastAsia" w:ascii="宋体" w:hAnsi="宋体"/>
          <w:color w:val="000000" w:themeColor="text1"/>
          <w:szCs w:val="24"/>
          <w14:textFill>
            <w14:solidFill>
              <w14:schemeClr w14:val="tx1"/>
            </w14:solidFill>
          </w14:textFill>
        </w:rPr>
        <w:t>和平县工业商务和信息化局</w:t>
      </w:r>
      <w:r>
        <w:rPr>
          <w:rFonts w:hint="eastAsia"/>
          <w:color w:val="000000" w:themeColor="text1"/>
          <w:szCs w:val="24"/>
          <w:lang w:val="en-US" w:eastAsia="zh-CN"/>
          <w14:textFill>
            <w14:solidFill>
              <w14:schemeClr w14:val="tx1"/>
            </w14:solidFill>
          </w14:textFill>
        </w:rPr>
        <w:t xml:space="preserve"> </w:t>
      </w:r>
      <w:r>
        <w:rPr>
          <w:rFonts w:ascii="宋体" w:hAnsi="宋体" w:eastAsia="宋体" w:cs="宋体"/>
          <w:sz w:val="24"/>
          <w:szCs w:val="24"/>
        </w:rPr>
        <w:t>骆振艺</w:t>
      </w:r>
    </w:p>
    <w:p>
      <w:pPr>
        <w:pStyle w:val="145"/>
        <w:keepNext w:val="0"/>
        <w:keepLines w:val="0"/>
        <w:pageBreakBefore w:val="0"/>
        <w:widowControl w:val="0"/>
        <w:kinsoku/>
        <w:wordWrap/>
        <w:overflowPunct/>
        <w:topLinePunct w:val="0"/>
        <w:autoSpaceDE/>
        <w:autoSpaceDN/>
        <w:bidi w:val="0"/>
        <w:adjustRightInd/>
        <w:snapToGrid/>
        <w:ind w:left="0" w:leftChars="0" w:firstLine="454" w:firstLineChars="0"/>
        <w:textAlignment w:val="auto"/>
        <w:rPr>
          <w:lang w:val="zh-CN"/>
        </w:rPr>
      </w:pPr>
      <w:r>
        <w:rPr>
          <w:rFonts w:hint="eastAsia"/>
          <w:lang w:val="zh-CN"/>
        </w:rPr>
        <w:t>项目建设</w:t>
      </w:r>
      <w:r>
        <w:rPr>
          <w:rFonts w:hint="eastAsia"/>
          <w:lang w:val="en-US" w:eastAsia="zh-CN"/>
        </w:rPr>
        <w:t>配合</w:t>
      </w:r>
      <w:r>
        <w:rPr>
          <w:rFonts w:hint="eastAsia"/>
          <w:lang w:val="zh-CN"/>
        </w:rPr>
        <w:t>单位：</w:t>
      </w:r>
      <w:r>
        <w:rPr>
          <w:rFonts w:hint="eastAsia" w:ascii="宋体" w:hAnsi="宋体" w:eastAsia="宋体" w:cs="宋体"/>
          <w:color w:val="000000" w:themeColor="text1"/>
          <w:szCs w:val="24"/>
          <w:lang w:val="en-US" w:eastAsia="zh-CN"/>
          <w14:textFill>
            <w14:solidFill>
              <w14:schemeClr w14:val="tx1"/>
            </w14:solidFill>
          </w14:textFill>
        </w:rPr>
        <w:t>和平县乡村振兴局</w:t>
      </w:r>
    </w:p>
    <w:p>
      <w:pPr>
        <w:pStyle w:val="145"/>
        <w:keepNext w:val="0"/>
        <w:keepLines w:val="0"/>
        <w:pageBreakBefore w:val="0"/>
        <w:widowControl w:val="0"/>
        <w:kinsoku/>
        <w:wordWrap/>
        <w:overflowPunct/>
        <w:topLinePunct w:val="0"/>
        <w:autoSpaceDE/>
        <w:autoSpaceDN/>
        <w:bidi w:val="0"/>
        <w:adjustRightInd/>
        <w:snapToGrid/>
        <w:ind w:left="0" w:leftChars="0" w:firstLine="454" w:firstLineChars="0"/>
        <w:textAlignment w:val="auto"/>
        <w:rPr>
          <w:lang w:val="zh-CN"/>
        </w:rPr>
      </w:pPr>
      <w:r>
        <w:rPr>
          <w:rFonts w:hint="eastAsia" w:cs="宋体"/>
          <w:color w:val="000000" w:themeColor="text1"/>
          <w:szCs w:val="24"/>
          <w:lang w:val="en-US" w:eastAsia="zh-CN"/>
          <w14:textFill>
            <w14:solidFill>
              <w14:schemeClr w14:val="tx1"/>
            </w14:solidFill>
          </w14:textFill>
        </w:rPr>
        <w:t>项目建设配合单位负责人：</w:t>
      </w:r>
      <w:r>
        <w:rPr>
          <w:rFonts w:hint="eastAsia"/>
          <w:color w:val="000000" w:themeColor="text1"/>
          <w:szCs w:val="24"/>
          <w:lang w:val="en-US" w:eastAsia="zh-CN"/>
          <w14:textFill>
            <w14:solidFill>
              <w14:schemeClr w14:val="tx1"/>
            </w14:solidFill>
          </w14:textFill>
        </w:rPr>
        <w:t>杨国彦</w:t>
      </w:r>
    </w:p>
    <w:bookmarkEnd w:id="7"/>
    <w:p>
      <w:pPr>
        <w:pStyle w:val="145"/>
        <w:keepNext w:val="0"/>
        <w:keepLines w:val="0"/>
        <w:pageBreakBefore w:val="0"/>
        <w:widowControl w:val="0"/>
        <w:kinsoku/>
        <w:wordWrap/>
        <w:overflowPunct/>
        <w:topLinePunct w:val="0"/>
        <w:autoSpaceDE/>
        <w:autoSpaceDN/>
        <w:bidi w:val="0"/>
        <w:adjustRightInd/>
        <w:snapToGrid/>
        <w:ind w:left="0" w:leftChars="0" w:firstLine="454" w:firstLineChars="0"/>
        <w:textAlignment w:val="auto"/>
        <w:rPr>
          <w:lang w:val="zh-CN"/>
        </w:rPr>
      </w:pPr>
      <w:r>
        <w:rPr>
          <w:rFonts w:hint="eastAsia"/>
          <w:lang w:val="zh-CN"/>
        </w:rPr>
        <w:t>方案编制单位：广东南方电信规划咨询设计院有限公司</w:t>
      </w:r>
    </w:p>
    <w:p>
      <w:pPr>
        <w:pStyle w:val="145"/>
        <w:keepNext w:val="0"/>
        <w:keepLines w:val="0"/>
        <w:pageBreakBefore w:val="0"/>
        <w:widowControl w:val="0"/>
        <w:kinsoku/>
        <w:wordWrap/>
        <w:overflowPunct/>
        <w:topLinePunct w:val="0"/>
        <w:autoSpaceDE/>
        <w:autoSpaceDN/>
        <w:bidi w:val="0"/>
        <w:adjustRightInd/>
        <w:snapToGrid/>
        <w:ind w:left="0" w:leftChars="0" w:firstLine="454" w:firstLineChars="0"/>
        <w:textAlignment w:val="auto"/>
        <w:rPr>
          <w:lang w:val="zh-CN"/>
        </w:rPr>
      </w:pPr>
      <w:r>
        <w:rPr>
          <w:rFonts w:hint="eastAsia"/>
          <w:lang w:val="zh-CN"/>
        </w:rPr>
        <w:t>方案编制机构资质：安防资质证书（壹级）、工程设计资质证书有线通信专业（甲级）、无线通信专业（甲级）、通信铁塔专业（甲级）、建筑智能化系统设计专项（甲级）、工程咨询单位资格证书（甲级）等。</w:t>
      </w:r>
    </w:p>
    <w:p>
      <w:pPr>
        <w:pStyle w:val="4"/>
        <w:rPr>
          <w:color w:val="000000" w:themeColor="text1"/>
          <w14:textFill>
            <w14:solidFill>
              <w14:schemeClr w14:val="tx1"/>
            </w14:solidFill>
          </w14:textFill>
        </w:rPr>
      </w:pPr>
      <w:bookmarkStart w:id="19" w:name="_Toc27935552"/>
      <w:bookmarkStart w:id="20" w:name="_Toc21115"/>
      <w:bookmarkStart w:id="21" w:name="_Toc27679926"/>
      <w:r>
        <w:rPr>
          <w:rFonts w:hint="eastAsia"/>
          <w:color w:val="000000" w:themeColor="text1"/>
          <w14:textFill>
            <w14:solidFill>
              <w14:schemeClr w14:val="tx1"/>
            </w14:solidFill>
          </w14:textFill>
        </w:rPr>
        <w:t>项目立项政策依据</w:t>
      </w:r>
      <w:bookmarkEnd w:id="19"/>
      <w:bookmarkEnd w:id="20"/>
      <w:bookmarkEnd w:id="21"/>
    </w:p>
    <w:p>
      <w:pPr>
        <w:pageBreakBefore w:val="0"/>
        <w:numPr>
          <w:ilvl w:val="0"/>
          <w:numId w:val="8"/>
        </w:numPr>
        <w:kinsoku/>
        <w:wordWrap/>
        <w:overflowPunct/>
        <w:topLinePunct w:val="0"/>
        <w:autoSpaceDE/>
        <w:autoSpaceDN/>
        <w:bidi w:val="0"/>
        <w:adjustRightInd/>
        <w:snapToGrid/>
        <w:spacing w:line="360" w:lineRule="auto"/>
        <w:ind w:left="0" w:leftChars="0" w:firstLine="454" w:firstLineChars="0"/>
        <w:textAlignment w:val="auto"/>
        <w:rPr>
          <w:rFonts w:hint="eastAsia"/>
          <w:color w:val="000000" w:themeColor="text1"/>
          <w:szCs w:val="28"/>
          <w:lang w:val="zh-CN"/>
          <w14:textFill>
            <w14:solidFill>
              <w14:schemeClr w14:val="tx1"/>
            </w14:solidFill>
          </w14:textFill>
        </w:rPr>
      </w:pPr>
      <w:bookmarkStart w:id="22" w:name="_Toc27679937"/>
      <w:bookmarkStart w:id="23" w:name="_Toc27935559"/>
      <w:r>
        <w:rPr>
          <w:rFonts w:hint="eastAsia"/>
          <w:color w:val="000000" w:themeColor="text1"/>
          <w:szCs w:val="28"/>
          <w:lang w:val="zh-CN"/>
          <w14:textFill>
            <w14:solidFill>
              <w14:schemeClr w14:val="tx1"/>
            </w14:solidFill>
          </w14:textFill>
        </w:rPr>
        <w:t>国务院办公厅《关于促进农村电子商务加快发展的指导意见》（国办发〔2015〕78号）。</w:t>
      </w:r>
    </w:p>
    <w:p>
      <w:pPr>
        <w:pageBreakBefore w:val="0"/>
        <w:numPr>
          <w:ilvl w:val="0"/>
          <w:numId w:val="8"/>
        </w:numPr>
        <w:kinsoku/>
        <w:wordWrap/>
        <w:overflowPunct/>
        <w:topLinePunct w:val="0"/>
        <w:autoSpaceDE/>
        <w:autoSpaceDN/>
        <w:bidi w:val="0"/>
        <w:adjustRightInd/>
        <w:snapToGrid/>
        <w:spacing w:line="360" w:lineRule="auto"/>
        <w:ind w:left="0" w:leftChars="0" w:firstLine="454" w:firstLineChars="0"/>
        <w:textAlignment w:val="auto"/>
        <w:rPr>
          <w:rFonts w:hint="eastAsia" w:ascii="宋体" w:hAnsi="宋体" w:eastAsia="宋体" w:cs="宋体"/>
          <w:color w:val="000000" w:themeColor="text1"/>
          <w:szCs w:val="28"/>
          <w:lang w:val="zh-CN"/>
          <w14:textFill>
            <w14:solidFill>
              <w14:schemeClr w14:val="tx1"/>
            </w14:solidFill>
          </w14:textFill>
        </w:rPr>
      </w:pPr>
      <w:r>
        <w:rPr>
          <w:rFonts w:ascii="宋体" w:hAnsi="宋体" w:eastAsia="宋体" w:cs="宋体"/>
          <w:sz w:val="24"/>
          <w:szCs w:val="24"/>
        </w:rPr>
        <w:t>财政部办公厅、商务部办公厅、扶贫办综合司</w:t>
      </w:r>
      <w:r>
        <w:rPr>
          <w:rFonts w:hint="eastAsia" w:ascii="宋体" w:hAnsi="宋体" w:eastAsia="宋体" w:cs="宋体"/>
          <w:color w:val="000000" w:themeColor="text1"/>
          <w:szCs w:val="28"/>
          <w:lang w:val="zh-CN"/>
          <w14:textFill>
            <w14:solidFill>
              <w14:schemeClr w14:val="tx1"/>
            </w14:solidFill>
          </w14:textFill>
        </w:rPr>
        <w:t>《关于开展2019年电子商务进农村综合示范工作的通知》（财办建〔2019〕58号 ）。</w:t>
      </w:r>
    </w:p>
    <w:p>
      <w:pPr>
        <w:pageBreakBefore w:val="0"/>
        <w:numPr>
          <w:ilvl w:val="0"/>
          <w:numId w:val="8"/>
        </w:numPr>
        <w:kinsoku/>
        <w:wordWrap/>
        <w:overflowPunct/>
        <w:topLinePunct w:val="0"/>
        <w:autoSpaceDE/>
        <w:autoSpaceDN/>
        <w:bidi w:val="0"/>
        <w:adjustRightInd/>
        <w:snapToGrid/>
        <w:spacing w:line="360" w:lineRule="auto"/>
        <w:ind w:left="0" w:leftChars="0" w:firstLine="454" w:firstLineChars="0"/>
        <w:textAlignment w:val="auto"/>
        <w:rPr>
          <w:rFonts w:hint="eastAsia" w:ascii="宋体" w:hAnsi="宋体" w:eastAsia="宋体" w:cs="宋体"/>
          <w:sz w:val="24"/>
          <w:szCs w:val="24"/>
          <w:lang w:val="zh-CN"/>
        </w:rPr>
      </w:pPr>
      <w:r>
        <w:rPr>
          <w:rFonts w:hint="eastAsia" w:ascii="宋体" w:hAnsi="宋体" w:eastAsia="宋体" w:cs="宋体"/>
          <w:sz w:val="24"/>
          <w:szCs w:val="24"/>
          <w:lang w:val="en-US" w:eastAsia="zh-CN"/>
        </w:rPr>
        <w:t>国家商务部办公厅《关于印发&lt;农村电子商务服务规范&gt;（试行）和&lt;农村电子商务工作指引&gt;（试行）的通知》（商建字〔2016〕17号 ）。</w:t>
      </w:r>
    </w:p>
    <w:p>
      <w:pPr>
        <w:pageBreakBefore w:val="0"/>
        <w:numPr>
          <w:ilvl w:val="0"/>
          <w:numId w:val="8"/>
        </w:numPr>
        <w:kinsoku/>
        <w:wordWrap/>
        <w:overflowPunct/>
        <w:topLinePunct w:val="0"/>
        <w:autoSpaceDE/>
        <w:autoSpaceDN/>
        <w:bidi w:val="0"/>
        <w:adjustRightInd/>
        <w:snapToGrid/>
        <w:spacing w:line="360" w:lineRule="auto"/>
        <w:ind w:left="0" w:leftChars="0" w:firstLine="454"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广东省商务厅《关于中央财政2020年服务业发展资金(电子商务进农村综合示范)项目计划的通知》(粤商务电函[2020]91号)。</w:t>
      </w:r>
    </w:p>
    <w:p>
      <w:pPr>
        <w:pageBreakBefore w:val="0"/>
        <w:numPr>
          <w:ilvl w:val="0"/>
          <w:numId w:val="8"/>
        </w:numPr>
        <w:kinsoku/>
        <w:wordWrap/>
        <w:overflowPunct/>
        <w:topLinePunct w:val="0"/>
        <w:autoSpaceDE/>
        <w:autoSpaceDN/>
        <w:bidi w:val="0"/>
        <w:adjustRightInd/>
        <w:snapToGrid/>
        <w:spacing w:line="360" w:lineRule="auto"/>
        <w:ind w:left="0" w:leftChars="0" w:firstLine="454"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省商务厅《广东省2018年国家电子商务进农村综合示范项目建设和资金使用工作指引》(</w:t>
      </w:r>
      <w:r>
        <w:rPr>
          <w:rFonts w:hint="eastAsia" w:cs="宋体"/>
          <w:sz w:val="24"/>
          <w:szCs w:val="24"/>
          <w:lang w:val="en-US" w:eastAsia="zh-CN"/>
        </w:rPr>
        <w:t>粤</w:t>
      </w:r>
      <w:r>
        <w:rPr>
          <w:rFonts w:hint="eastAsia" w:ascii="宋体" w:hAnsi="宋体" w:eastAsia="宋体" w:cs="宋体"/>
          <w:sz w:val="24"/>
          <w:szCs w:val="24"/>
          <w:lang w:val="en-US" w:eastAsia="zh-CN"/>
        </w:rPr>
        <w:t>商务电函[2018] 115号)。</w:t>
      </w:r>
    </w:p>
    <w:p>
      <w:pPr>
        <w:pageBreakBefore w:val="0"/>
        <w:numPr>
          <w:ilvl w:val="0"/>
          <w:numId w:val="8"/>
        </w:numPr>
        <w:kinsoku/>
        <w:wordWrap/>
        <w:overflowPunct/>
        <w:topLinePunct w:val="0"/>
        <w:autoSpaceDE/>
        <w:autoSpaceDN/>
        <w:bidi w:val="0"/>
        <w:adjustRightInd/>
        <w:snapToGrid/>
        <w:spacing w:line="360" w:lineRule="auto"/>
        <w:ind w:left="0" w:leftChars="0" w:firstLine="454"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《和平县人民政府办公室关于印发和平县2018年国家级电子商务进农村综合示范项目工作实施方案的通知》(和府办函[2019] 4号)。</w:t>
      </w:r>
    </w:p>
    <w:p>
      <w:pPr>
        <w:pageBreakBefore w:val="0"/>
        <w:numPr>
          <w:ilvl w:val="0"/>
          <w:numId w:val="8"/>
        </w:numPr>
        <w:kinsoku/>
        <w:wordWrap/>
        <w:overflowPunct/>
        <w:topLinePunct w:val="0"/>
        <w:autoSpaceDE/>
        <w:autoSpaceDN/>
        <w:bidi w:val="0"/>
        <w:adjustRightInd/>
        <w:snapToGrid/>
        <w:spacing w:line="360" w:lineRule="auto"/>
        <w:ind w:left="0" w:leftChars="0" w:firstLine="454"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《河源市实施乡村振兴战略规划（2018-2022年）》。</w:t>
      </w:r>
    </w:p>
    <w:p>
      <w:pPr>
        <w:pageBreakBefore w:val="0"/>
        <w:numPr>
          <w:ilvl w:val="0"/>
          <w:numId w:val="8"/>
        </w:numPr>
        <w:kinsoku/>
        <w:wordWrap/>
        <w:overflowPunct/>
        <w:topLinePunct w:val="0"/>
        <w:autoSpaceDE/>
        <w:autoSpaceDN/>
        <w:bidi w:val="0"/>
        <w:adjustRightInd/>
        <w:snapToGrid/>
        <w:spacing w:line="360" w:lineRule="auto"/>
        <w:ind w:left="0" w:leftChars="0" w:firstLine="454" w:firstLineChars="0"/>
        <w:textAlignment w:val="auto"/>
        <w:rPr>
          <w:rFonts w:hint="eastAsia" w:ascii="宋体" w:hAnsi="宋体" w:eastAsia="宋体" w:cs="宋体"/>
          <w:color w:val="000000" w:themeColor="text1"/>
          <w:szCs w:val="28"/>
          <w:lang w:val="zh-CN"/>
          <w14:textFill>
            <w14:solidFill>
              <w14:schemeClr w14:val="tx1"/>
            </w14:solidFill>
          </w14:textFill>
        </w:rPr>
      </w:pPr>
      <w:r>
        <w:rPr>
          <w:rFonts w:hint="eastAsia" w:ascii="宋体" w:hAnsi="宋体" w:eastAsia="宋体" w:cs="宋体"/>
          <w:sz w:val="24"/>
          <w:szCs w:val="24"/>
          <w:lang w:val="en-US" w:eastAsia="zh-CN"/>
        </w:rPr>
        <w:t>《和平县实施乡村振兴战略规划(2018-2022年) 》。</w:t>
      </w:r>
    </w:p>
    <w:p>
      <w:pPr>
        <w:pStyle w:val="4"/>
        <w:rPr>
          <w:color w:val="000000" w:themeColor="text1"/>
          <w14:textFill>
            <w14:solidFill>
              <w14:schemeClr w14:val="tx1"/>
            </w14:solidFill>
          </w14:textFill>
        </w:rPr>
      </w:pPr>
      <w:bookmarkStart w:id="24" w:name="_Toc27866"/>
      <w:r>
        <w:rPr>
          <w:rFonts w:hint="eastAsia"/>
          <w:color w:val="000000" w:themeColor="text1"/>
          <w14:textFill>
            <w14:solidFill>
              <w14:schemeClr w14:val="tx1"/>
            </w14:solidFill>
          </w14:textFill>
        </w:rPr>
        <w:t>项目建设绩效目标</w:t>
      </w:r>
      <w:bookmarkEnd w:id="22"/>
      <w:bookmarkEnd w:id="23"/>
      <w:bookmarkEnd w:id="24"/>
    </w:p>
    <w:p>
      <w:pPr>
        <w:pStyle w:val="5"/>
        <w:bidi w:val="0"/>
        <w:rPr>
          <w:rFonts w:hint="default"/>
          <w:lang w:val="en-US" w:eastAsia="zh-CN"/>
        </w:rPr>
      </w:pPr>
      <w:bookmarkStart w:id="25" w:name="_Toc16634"/>
      <w:r>
        <w:rPr>
          <w:rFonts w:hint="eastAsia"/>
          <w:lang w:val="en-US" w:eastAsia="zh-CN"/>
        </w:rPr>
        <w:t>建设目标</w:t>
      </w:r>
      <w:bookmarkEnd w:id="25"/>
    </w:p>
    <w:p>
      <w:pPr>
        <w:bidi w:val="0"/>
        <w:rPr>
          <w:rFonts w:hint="eastAsia"/>
          <w:lang w:val="en-US" w:eastAsia="zh-CN"/>
        </w:rPr>
      </w:pPr>
      <w:bookmarkStart w:id="26" w:name="_Toc27679941"/>
      <w:bookmarkStart w:id="27" w:name="_Toc27935563"/>
      <w:r>
        <w:rPr>
          <w:rFonts w:hint="eastAsia"/>
          <w:lang w:val="en-US" w:eastAsia="zh-CN"/>
        </w:rPr>
        <w:t>以习近平新时代中国特色社会主义思想为指导，全面贯彻党的十九大和十九届二中、三中、四中全会精神，认真落实党中央、国务院部署，聚焦脱贫攻坚和乡村振兴，以电子商务进农村综合示范项目为抓手，加强农村流通设施建设，提升公共服务水平，促进产销对接，探索数据驱动，构建普惠共享、线上线下融合、工业品下乡和农产品进城畅通的农村现代流通体系。</w:t>
      </w:r>
    </w:p>
    <w:p>
      <w:pPr>
        <w:bidi w:val="0"/>
        <w:rPr>
          <w:rFonts w:hint="eastAsia"/>
          <w:lang w:val="en-US" w:eastAsia="zh-CN"/>
        </w:rPr>
      </w:pPr>
      <w:r>
        <w:rPr>
          <w:rFonts w:hint="eastAsia"/>
          <w:lang w:val="en-US" w:eastAsia="zh-CN"/>
        </w:rPr>
        <w:t>在《中共中央国务院关于实施乡村振兴战略的意见》中也提到并明确了产业兴旺、生态宜居、乡风文明、治理有效、生活富裕的总要求，要推动质量兴农、绿色兴农、品牌强农，要立足转变农业发展方式，积极构建现代农业产业体系、生产体系、经营体系，提升农业优质化、绿色化、品牌化发展水平，推动农业发展质量变革、效率变革、动力变革，从而创新农民利益共享机制，带动农民持续稳定增收，加快构建现代农业产业体系、生产体系、经营体系，打造高起点、高标准的现代农业发展先行区，为农业农村经济持续健康发展注入新动能新活力。因此，和平县亟需依托现有的产业资源、农产品资源、农产品品牌资源，通过电子商务公共服务体系的打造、和平县农产品初加工和商品（标准）化中心建设、农产品品牌周年优化推广活动的举行、电商直播基地打造、抖音短视频拍摄制作等一系列的实施，顺应市场发展新形势、宏观政策新方向，意在突破自身发展的瓶颈，推动产业升级转型、吸引资本投资，促进企业增收人民致富。</w:t>
      </w:r>
      <w:bookmarkStart w:id="28" w:name="_Toc43196850"/>
    </w:p>
    <w:bookmarkEnd w:id="28"/>
    <w:p>
      <w:pPr>
        <w:bidi w:val="0"/>
        <w:rPr>
          <w:rFonts w:hint="eastAsia" w:ascii="Times New Roman" w:hAnsi="Times New Roman" w:eastAsia="宋体" w:cs="宋体"/>
          <w:bCs/>
          <w:color w:val="000000"/>
          <w:kern w:val="0"/>
          <w:szCs w:val="28"/>
          <w:lang w:val="zh-CN" w:eastAsia="zh-CN" w:bidi="ar"/>
        </w:rPr>
      </w:pPr>
      <w:r>
        <w:rPr>
          <w:rFonts w:hint="eastAsia"/>
          <w:lang w:val="en-US" w:eastAsia="zh-CN"/>
        </w:rPr>
        <w:t>结合和平县乡村振兴局工作及信息化建设实际，契合“乡村振兴”工作重心、配套线上和平县乡村振兴农产品展销管理平台，带动种植业、产品质量认证、加工业和包装、仓储、物流等相关产业的发展，真正把农产品资源优势变成产业优势，促进就业增加、农民增收，壮大发展河源贫困地区经济。</w:t>
      </w:r>
    </w:p>
    <w:p>
      <w:pPr>
        <w:pStyle w:val="5"/>
        <w:bidi w:val="0"/>
      </w:pPr>
      <w:bookmarkStart w:id="29" w:name="_Toc28561"/>
      <w:bookmarkStart w:id="30" w:name="_Toc311407830"/>
      <w:r>
        <w:rPr>
          <w:rFonts w:hint="eastAsia"/>
          <w:lang w:val="en-US" w:eastAsia="zh-CN"/>
        </w:rPr>
        <w:t>绩效目标</w:t>
      </w:r>
      <w:bookmarkEnd w:id="29"/>
    </w:p>
    <w:p>
      <w:pPr>
        <w:numPr>
          <w:ilvl w:val="0"/>
          <w:numId w:val="9"/>
        </w:numPr>
        <w:bidi w:val="0"/>
        <w:ind w:left="420" w:leftChars="0" w:firstLine="34" w:firstLineChars="0"/>
        <w:rPr>
          <w:rFonts w:hint="eastAsia"/>
          <w:b/>
          <w:bCs/>
        </w:rPr>
      </w:pPr>
      <w:r>
        <w:rPr>
          <w:rFonts w:hint="eastAsia"/>
          <w:b/>
          <w:bCs/>
        </w:rPr>
        <w:t>对于和平县产业</w:t>
      </w:r>
    </w:p>
    <w:p>
      <w:pPr>
        <w:bidi w:val="0"/>
        <w:rPr>
          <w:rFonts w:hint="eastAsia" w:ascii="宋体" w:hAnsi="宋体" w:eastAsia="宋体" w:cs="宋体"/>
          <w:lang w:val="en-US" w:eastAsia="zh-CN"/>
        </w:rPr>
      </w:pPr>
      <w:r>
        <w:rPr>
          <w:rFonts w:hint="eastAsia" w:ascii="宋体" w:hAnsi="宋体" w:eastAsia="宋体" w:cs="宋体"/>
          <w:lang w:val="en-US" w:eastAsia="zh-CN"/>
        </w:rPr>
        <w:t>（1）有利于和平县“耘客和礼”农产品品牌的推广及长期有效的运营，将其打造成全国区域公用品牌标杆；</w:t>
      </w:r>
    </w:p>
    <w:p>
      <w:pPr>
        <w:bidi w:val="0"/>
        <w:rPr>
          <w:rFonts w:hint="eastAsia" w:ascii="宋体" w:hAnsi="宋体" w:eastAsia="宋体" w:cs="宋体"/>
          <w:lang w:val="en-US" w:eastAsia="zh-CN"/>
        </w:rPr>
      </w:pPr>
      <w:r>
        <w:rPr>
          <w:rFonts w:hint="eastAsia" w:ascii="宋体" w:hAnsi="宋体" w:eastAsia="宋体" w:cs="宋体"/>
          <w:lang w:val="en-US" w:eastAsia="zh-CN"/>
        </w:rPr>
        <w:t>（2）有利于提升和平县区位形象，便于招商引资，提高区域GDP；</w:t>
      </w:r>
    </w:p>
    <w:p>
      <w:pPr>
        <w:bidi w:val="0"/>
        <w:rPr>
          <w:rFonts w:hint="eastAsia" w:ascii="宋体" w:hAnsi="宋体" w:eastAsia="宋体" w:cs="宋体"/>
          <w:lang w:val="en-US" w:eastAsia="zh-CN"/>
        </w:rPr>
      </w:pPr>
      <w:r>
        <w:rPr>
          <w:rFonts w:hint="eastAsia" w:ascii="宋体" w:hAnsi="宋体" w:eastAsia="宋体" w:cs="宋体"/>
          <w:lang w:val="en-US" w:eastAsia="zh-CN"/>
        </w:rPr>
        <w:t>（3）有一定作用的解决因此次疫情影响而产生的人员就业问题；</w:t>
      </w:r>
    </w:p>
    <w:p>
      <w:pPr>
        <w:bidi w:val="0"/>
        <w:rPr>
          <w:rFonts w:hint="eastAsia" w:ascii="宋体" w:hAnsi="宋体" w:eastAsia="宋体" w:cs="宋体"/>
          <w:lang w:val="en-US" w:eastAsia="zh-CN"/>
        </w:rPr>
      </w:pPr>
      <w:r>
        <w:rPr>
          <w:rFonts w:hint="eastAsia" w:ascii="宋体" w:hAnsi="宋体" w:eastAsia="宋体" w:cs="宋体"/>
          <w:lang w:val="en-US" w:eastAsia="zh-CN"/>
        </w:rPr>
        <w:t>（4）培育出本土的流量网红，将以往靠他地输血性改变为自我造血性。</w:t>
      </w:r>
    </w:p>
    <w:p>
      <w:pPr>
        <w:bidi w:val="0"/>
        <w:rPr>
          <w:rFonts w:hint="eastAsia" w:ascii="宋体" w:hAnsi="宋体" w:eastAsia="宋体" w:cs="宋体"/>
          <w:lang w:val="en-US" w:eastAsia="zh-CN"/>
        </w:rPr>
      </w:pPr>
      <w:r>
        <w:rPr>
          <w:rFonts w:hint="eastAsia" w:ascii="宋体" w:hAnsi="宋体" w:eastAsia="宋体" w:cs="宋体"/>
          <w:lang w:val="en-US" w:eastAsia="zh-CN"/>
        </w:rPr>
        <w:t>（5）提升农村流通现代化水平，促进一、二、三产业融合发展。</w:t>
      </w:r>
      <w:bookmarkStart w:id="31" w:name="_Toc43196853"/>
      <w:bookmarkStart w:id="32" w:name="_Hlk43145030"/>
    </w:p>
    <w:p>
      <w:pPr>
        <w:numPr>
          <w:ilvl w:val="0"/>
          <w:numId w:val="9"/>
        </w:numPr>
        <w:bidi w:val="0"/>
        <w:ind w:left="420" w:leftChars="0" w:firstLine="34" w:firstLineChars="0"/>
        <w:rPr>
          <w:rFonts w:hint="eastAsia" w:ascii="宋体" w:hAnsi="宋体" w:eastAsia="宋体" w:cs="宋体"/>
          <w:b/>
          <w:bCs/>
        </w:rPr>
      </w:pPr>
      <w:r>
        <w:rPr>
          <w:rFonts w:hint="eastAsia" w:ascii="宋体" w:hAnsi="宋体" w:eastAsia="宋体" w:cs="宋体"/>
          <w:b/>
          <w:bCs/>
          <w:lang w:val="en-US" w:eastAsia="zh-CN"/>
        </w:rPr>
        <w:t>对于和平县企业</w:t>
      </w:r>
      <w:bookmarkEnd w:id="31"/>
    </w:p>
    <w:bookmarkEnd w:id="32"/>
    <w:p>
      <w:pPr>
        <w:bidi w:val="0"/>
        <w:rPr>
          <w:rFonts w:hint="eastAsia" w:ascii="宋体" w:hAnsi="宋体" w:eastAsia="宋体" w:cs="宋体"/>
          <w:lang w:val="en-US" w:eastAsia="zh-CN"/>
        </w:rPr>
      </w:pPr>
      <w:r>
        <w:rPr>
          <w:rFonts w:hint="eastAsia" w:ascii="宋体" w:hAnsi="宋体" w:eastAsia="宋体" w:cs="宋体"/>
          <w:lang w:val="en-US" w:eastAsia="zh-CN"/>
        </w:rPr>
        <w:t>（1）有利于规范和平县农业集群的发展思路，保障和提升和平县农产品品牌声誉，利于企业的发展；</w:t>
      </w:r>
    </w:p>
    <w:p>
      <w:pPr>
        <w:bidi w:val="0"/>
        <w:rPr>
          <w:rFonts w:hint="eastAsia" w:ascii="宋体" w:hAnsi="宋体" w:eastAsia="宋体" w:cs="宋体"/>
          <w:lang w:val="en-US" w:eastAsia="zh-CN"/>
        </w:rPr>
      </w:pPr>
      <w:r>
        <w:rPr>
          <w:rFonts w:hint="eastAsia" w:ascii="宋体" w:hAnsi="宋体" w:eastAsia="宋体" w:cs="宋体"/>
          <w:lang w:val="en-US" w:eastAsia="zh-CN"/>
        </w:rPr>
        <w:t>（2）进一步提高和平县农产品质量标准，加速和平县农产业标准化规范进程，利于和平县农产品长期平稳的发展；</w:t>
      </w:r>
    </w:p>
    <w:p>
      <w:pPr>
        <w:bidi w:val="0"/>
        <w:rPr>
          <w:rFonts w:hint="eastAsia" w:ascii="宋体" w:hAnsi="宋体" w:eastAsia="宋体" w:cs="宋体"/>
          <w:lang w:val="en-US" w:eastAsia="zh-CN"/>
        </w:rPr>
      </w:pPr>
      <w:r>
        <w:rPr>
          <w:rFonts w:hint="eastAsia" w:ascii="宋体" w:hAnsi="宋体" w:eastAsia="宋体" w:cs="宋体"/>
          <w:lang w:val="en-US" w:eastAsia="zh-CN"/>
        </w:rPr>
        <w:t>（3）加速企业发展思路转化与服务升级，从卖产品到卖品牌的转变。</w:t>
      </w:r>
      <w:bookmarkStart w:id="33" w:name="_Toc43196854"/>
    </w:p>
    <w:p>
      <w:pPr>
        <w:numPr>
          <w:ilvl w:val="0"/>
          <w:numId w:val="9"/>
        </w:numPr>
        <w:bidi w:val="0"/>
        <w:ind w:left="420" w:leftChars="0" w:firstLine="34" w:firstLineChars="0"/>
        <w:rPr>
          <w:rFonts w:hint="eastAsia" w:ascii="宋体" w:hAnsi="宋体" w:eastAsia="宋体" w:cs="宋体"/>
          <w:b/>
          <w:bCs/>
          <w:lang w:val="en-US" w:eastAsia="zh-CN"/>
        </w:rPr>
      </w:pPr>
      <w:r>
        <w:rPr>
          <w:rFonts w:hint="eastAsia" w:ascii="宋体" w:hAnsi="宋体" w:eastAsia="宋体" w:cs="宋体"/>
          <w:b/>
          <w:bCs/>
          <w:lang w:val="en-US" w:eastAsia="zh-CN"/>
        </w:rPr>
        <w:t>对于和平县当地群众</w:t>
      </w:r>
      <w:bookmarkEnd w:id="33"/>
    </w:p>
    <w:p>
      <w:pPr>
        <w:bidi w:val="0"/>
        <w:rPr>
          <w:rFonts w:hint="eastAsia" w:ascii="宋体" w:hAnsi="宋体" w:eastAsia="宋体" w:cs="宋体"/>
          <w:lang w:val="en-US" w:eastAsia="zh-CN"/>
        </w:rPr>
      </w:pPr>
      <w:r>
        <w:rPr>
          <w:rFonts w:hint="eastAsia" w:ascii="宋体" w:hAnsi="宋体" w:eastAsia="宋体" w:cs="宋体"/>
          <w:lang w:val="en-US" w:eastAsia="zh-CN"/>
        </w:rPr>
        <w:t>（1）优化产业升级，带动和平县就业人口，改善群众生活质量；</w:t>
      </w:r>
    </w:p>
    <w:p>
      <w:pPr>
        <w:bidi w:val="0"/>
        <w:rPr>
          <w:rFonts w:hint="eastAsia" w:ascii="宋体" w:hAnsi="宋体" w:eastAsia="宋体" w:cs="宋体"/>
          <w:lang w:val="en-US" w:eastAsia="zh-CN"/>
        </w:rPr>
      </w:pPr>
      <w:r>
        <w:rPr>
          <w:rFonts w:hint="eastAsia" w:ascii="宋体" w:hAnsi="宋体" w:eastAsia="宋体" w:cs="宋体"/>
          <w:lang w:val="en-US" w:eastAsia="zh-CN"/>
        </w:rPr>
        <w:t>（2）进一步提升和平县各产品价值，提高和平县产品市场影响力和占有率，获取更多的品牌溢价收益；</w:t>
      </w:r>
    </w:p>
    <w:p>
      <w:pPr>
        <w:bidi w:val="0"/>
      </w:pPr>
      <w:r>
        <w:rPr>
          <w:rFonts w:hint="eastAsia" w:ascii="宋体" w:hAnsi="宋体" w:eastAsia="宋体" w:cs="宋体"/>
          <w:lang w:val="en-US" w:eastAsia="zh-CN"/>
        </w:rPr>
        <w:t>（3）营造良好的市场环境，更多的就业岗位，吸引当地青年返乡创业。</w:t>
      </w:r>
    </w:p>
    <w:bookmarkEnd w:id="30"/>
    <w:p>
      <w:pPr>
        <w:pStyle w:val="4"/>
        <w:rPr>
          <w:color w:val="000000" w:themeColor="text1"/>
          <w14:textFill>
            <w14:solidFill>
              <w14:schemeClr w14:val="tx1"/>
            </w14:solidFill>
          </w14:textFill>
        </w:rPr>
      </w:pPr>
      <w:bookmarkStart w:id="34" w:name="_Toc25815"/>
      <w:r>
        <w:rPr>
          <w:rFonts w:hint="eastAsia"/>
          <w:color w:val="000000" w:themeColor="text1"/>
          <w14:textFill>
            <w14:solidFill>
              <w14:schemeClr w14:val="tx1"/>
            </w14:solidFill>
          </w14:textFill>
        </w:rPr>
        <w:t>项目周期</w:t>
      </w:r>
      <w:bookmarkEnd w:id="26"/>
      <w:bookmarkEnd w:id="27"/>
      <w:bookmarkEnd w:id="34"/>
    </w:p>
    <w:p>
      <w:pPr>
        <w:rPr>
          <w:rFonts w:hint="eastAsia"/>
          <w:color w:val="000000" w:themeColor="text1"/>
          <w:szCs w:val="28"/>
          <w:lang w:val="zh-CN"/>
          <w14:textFill>
            <w14:solidFill>
              <w14:schemeClr w14:val="tx1"/>
            </w14:solidFill>
          </w14:textFill>
        </w:rPr>
      </w:pPr>
      <w:r>
        <w:rPr>
          <w:rFonts w:hint="eastAsia"/>
          <w:color w:val="000000" w:themeColor="text1"/>
          <w:szCs w:val="28"/>
          <w:lang w:val="zh-CN"/>
          <w14:textFill>
            <w14:solidFill>
              <w14:schemeClr w14:val="tx1"/>
            </w14:solidFill>
          </w14:textFill>
        </w:rPr>
        <w:t>自项目开工日起</w:t>
      </w:r>
      <w:r>
        <w:rPr>
          <w:rFonts w:hint="eastAsia"/>
          <w:color w:val="000000" w:themeColor="text1"/>
          <w:szCs w:val="28"/>
          <w:lang w:val="en-US" w:eastAsia="zh-CN"/>
          <w14:textFill>
            <w14:solidFill>
              <w14:schemeClr w14:val="tx1"/>
            </w14:solidFill>
          </w14:textFill>
        </w:rPr>
        <w:t>2</w:t>
      </w:r>
      <w:r>
        <w:rPr>
          <w:rFonts w:hint="eastAsia"/>
          <w:color w:val="000000" w:themeColor="text1"/>
          <w:szCs w:val="28"/>
          <w14:textFill>
            <w14:solidFill>
              <w14:schemeClr w14:val="tx1"/>
            </w14:solidFill>
          </w14:textFill>
        </w:rPr>
        <w:t>个月</w:t>
      </w:r>
      <w:r>
        <w:rPr>
          <w:rFonts w:hint="eastAsia"/>
          <w:color w:val="000000" w:themeColor="text1"/>
          <w:szCs w:val="28"/>
          <w:lang w:val="zh-CN"/>
          <w14:textFill>
            <w14:solidFill>
              <w14:schemeClr w14:val="tx1"/>
            </w14:solidFill>
          </w14:textFill>
        </w:rPr>
        <w:t>内完工。</w:t>
      </w:r>
    </w:p>
    <w:p>
      <w:pPr>
        <w:rPr>
          <w:color w:val="000000" w:themeColor="text1"/>
          <w:szCs w:val="28"/>
          <w:lang w:val="zh-CN"/>
          <w14:textFill>
            <w14:solidFill>
              <w14:schemeClr w14:val="tx1"/>
            </w14:solidFill>
          </w14:textFill>
        </w:rPr>
      </w:pPr>
      <w:r>
        <w:rPr>
          <w:rFonts w:hint="eastAsia"/>
          <w:color w:val="000000" w:themeColor="text1"/>
          <w:szCs w:val="28"/>
          <w:lang w:val="en-US" w:eastAsia="zh-CN"/>
          <w14:textFill>
            <w14:solidFill>
              <w14:schemeClr w14:val="tx1"/>
            </w14:solidFill>
          </w14:textFill>
        </w:rPr>
        <w:t>本项目</w:t>
      </w:r>
      <w:r>
        <w:rPr>
          <w:rFonts w:hint="eastAsia" w:ascii="宋体" w:hAnsi="宋体"/>
          <w:color w:val="000000" w:themeColor="text1"/>
          <w:szCs w:val="24"/>
          <w14:textFill>
            <w14:solidFill>
              <w14:schemeClr w14:val="tx1"/>
            </w14:solidFill>
          </w14:textFill>
        </w:rPr>
        <w:t>涉及的</w:t>
      </w:r>
      <w:r>
        <w:rPr>
          <w:rFonts w:hint="eastAsia" w:ascii="宋体" w:hAnsi="宋体"/>
          <w:color w:val="000000" w:themeColor="text1"/>
          <w:szCs w:val="24"/>
          <w:lang w:eastAsia="zh-CN"/>
          <w14:textFill>
            <w14:solidFill>
              <w14:schemeClr w14:val="tx1"/>
            </w14:solidFill>
          </w14:textFill>
        </w:rPr>
        <w:t>电商系统</w:t>
      </w:r>
      <w:r>
        <w:rPr>
          <w:rFonts w:hint="eastAsia" w:ascii="宋体" w:hAnsi="宋体"/>
          <w:color w:val="000000" w:themeColor="text1"/>
          <w:szCs w:val="24"/>
          <w14:textFill>
            <w14:solidFill>
              <w14:schemeClr w14:val="tx1"/>
            </w14:solidFill>
          </w14:textFill>
        </w:rPr>
        <w:t>平台服务使用、运营人员等均由服务提供商提供3年服务。</w:t>
      </w:r>
    </w:p>
    <w:p>
      <w:pPr>
        <w:pStyle w:val="4"/>
        <w:rPr>
          <w:color w:val="000000" w:themeColor="text1"/>
          <w14:textFill>
            <w14:solidFill>
              <w14:schemeClr w14:val="tx1"/>
            </w14:solidFill>
          </w14:textFill>
        </w:rPr>
      </w:pPr>
      <w:bookmarkStart w:id="35" w:name="_Toc15386"/>
      <w:bookmarkStart w:id="36" w:name="_Toc27679942"/>
      <w:bookmarkStart w:id="37" w:name="_Toc27935564"/>
      <w:r>
        <w:rPr>
          <w:rFonts w:hint="eastAsia"/>
          <w:color w:val="000000" w:themeColor="text1"/>
          <w14:textFill>
            <w14:solidFill>
              <w14:schemeClr w14:val="tx1"/>
            </w14:solidFill>
          </w14:textFill>
        </w:rPr>
        <w:t>项目建设内容一览表</w:t>
      </w:r>
      <w:bookmarkEnd w:id="35"/>
    </w:p>
    <w:p>
      <w:pPr>
        <w:rPr>
          <w:rFonts w:hint="eastAsia"/>
          <w:lang w:val="en-US" w:eastAsia="zh-CN"/>
        </w:rPr>
      </w:pPr>
      <w:r>
        <w:rPr>
          <w:rFonts w:hint="eastAsia"/>
          <w:lang w:val="en-US" w:eastAsia="zh-CN"/>
        </w:rPr>
        <w:t>本期项目建设内容如下所示：</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1"/>
        <w:gridCol w:w="2261"/>
        <w:gridCol w:w="52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75"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32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3098"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服务内容及实现功能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lang w:val="en-US" w:eastAsia="zh-CN"/>
              </w:rPr>
            </w:pPr>
            <w:r>
              <w:rPr>
                <w:rFonts w:hint="eastAsia" w:cs="宋体"/>
                <w:i w:val="0"/>
                <w:iCs w:val="0"/>
                <w:color w:val="000000"/>
                <w:sz w:val="24"/>
                <w:szCs w:val="24"/>
                <w:u w:val="none"/>
                <w:lang w:val="en-US" w:eastAsia="zh-CN"/>
              </w:rPr>
              <w:t>一</w:t>
            </w: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和平县乡村振兴农产品展销管理平台运营服务</w:t>
            </w:r>
          </w:p>
        </w:tc>
        <w:tc>
          <w:tcPr>
            <w:tcW w:w="30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和平县乡村振兴农产品展销管理平台软件开发服务</w:t>
            </w:r>
            <w:r>
              <w:rPr>
                <w:rFonts w:hint="eastAsia" w:cs="宋体"/>
                <w:i w:val="0"/>
                <w:iCs w:val="0"/>
                <w:color w:val="000000"/>
                <w:kern w:val="0"/>
                <w:sz w:val="24"/>
                <w:szCs w:val="24"/>
                <w:u w:val="none"/>
                <w:lang w:val="en-US" w:eastAsia="zh-CN" w:bidi="ar"/>
              </w:rPr>
              <w:t>、支付平台对接、物流平台对接</w:t>
            </w:r>
            <w:r>
              <w:rPr>
                <w:rFonts w:hint="eastAsia" w:ascii="宋体" w:hAnsi="宋体" w:eastAsia="宋体" w:cs="宋体"/>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cs="宋体"/>
                <w:i w:val="0"/>
                <w:iCs w:val="0"/>
                <w:color w:val="000000"/>
                <w:kern w:val="0"/>
                <w:sz w:val="24"/>
                <w:szCs w:val="24"/>
                <w:u w:val="none"/>
                <w:lang w:val="en-US" w:eastAsia="zh-CN" w:bidi="ar"/>
              </w:rPr>
              <w:t>二</w:t>
            </w: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和平县乡村振兴农产品展销管理平台人员服务</w:t>
            </w:r>
          </w:p>
        </w:tc>
        <w:tc>
          <w:tcPr>
            <w:tcW w:w="30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和平县乡村振兴农产品展销管理平台人员服务，客服人员、售后人员、信息数据专员等人员服务。主要用于平台的维护更新，数据采集核对，监督考评。</w:t>
            </w:r>
          </w:p>
        </w:tc>
      </w:tr>
    </w:tbl>
    <w:p>
      <w:pPr>
        <w:pStyle w:val="16"/>
      </w:pPr>
    </w:p>
    <w:p>
      <w:pPr>
        <w:pStyle w:val="4"/>
        <w:rPr>
          <w:color w:val="000000" w:themeColor="text1"/>
          <w14:textFill>
            <w14:solidFill>
              <w14:schemeClr w14:val="tx1"/>
            </w14:solidFill>
          </w14:textFill>
        </w:rPr>
      </w:pPr>
      <w:bookmarkStart w:id="38" w:name="_Toc8832"/>
      <w:r>
        <w:rPr>
          <w:rFonts w:hint="eastAsia"/>
          <w:color w:val="000000" w:themeColor="text1"/>
          <w14:textFill>
            <w14:solidFill>
              <w14:schemeClr w14:val="tx1"/>
            </w14:solidFill>
          </w14:textFill>
        </w:rPr>
        <w:t>总投资及来源</w:t>
      </w:r>
      <w:bookmarkEnd w:id="36"/>
      <w:bookmarkEnd w:id="37"/>
      <w:bookmarkEnd w:id="38"/>
    </w:p>
    <w:p>
      <w:pPr>
        <w:keepNext w:val="0"/>
        <w:keepLines w:val="0"/>
        <w:pageBreakBefore w:val="0"/>
        <w:widowControl/>
        <w:kinsoku/>
        <w:wordWrap/>
        <w:overflowPunct/>
        <w:topLinePunct w:val="0"/>
        <w:autoSpaceDE/>
        <w:autoSpaceDN/>
        <w:bidi w:val="0"/>
        <w:adjustRightInd/>
        <w:snapToGrid/>
        <w:spacing w:after="164" w:afterLines="50" w:line="360" w:lineRule="auto"/>
        <w:ind w:firstLine="480"/>
        <w:textAlignment w:val="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本项目投资人民币</w:t>
      </w:r>
      <w:r>
        <w:rPr>
          <w:rFonts w:hint="eastAsia" w:ascii="宋体" w:hAnsi="宋体" w:eastAsia="宋体" w:cs="宋体"/>
          <w:b/>
          <w:bCs/>
          <w:color w:val="000000" w:themeColor="text1"/>
          <w14:textFill>
            <w14:solidFill>
              <w14:schemeClr w14:val="tx1"/>
            </w14:solidFill>
          </w14:textFill>
        </w:rPr>
        <w:t>¥</w:t>
      </w:r>
      <w:r>
        <w:rPr>
          <w:rFonts w:hint="eastAsia" w:cs="宋体"/>
          <w:b/>
          <w:bCs/>
          <w:color w:val="000000" w:themeColor="text1"/>
          <w:lang w:val="en-US" w:eastAsia="zh-CN"/>
          <w14:textFill>
            <w14:solidFill>
              <w14:schemeClr w14:val="tx1"/>
            </w14:solidFill>
          </w14:textFill>
        </w:rPr>
        <w:t xml:space="preserve"> 4416206.40 </w:t>
      </w:r>
      <w:r>
        <w:rPr>
          <w:rFonts w:hint="eastAsia" w:ascii="宋体" w:hAnsi="宋体" w:eastAsia="宋体" w:cs="宋体"/>
          <w:color w:val="000000" w:themeColor="text1"/>
          <w14:textFill>
            <w14:solidFill>
              <w14:schemeClr w14:val="tx1"/>
            </w14:solidFill>
          </w14:textFill>
        </w:rPr>
        <w:t>元。</w:t>
      </w:r>
      <w:r>
        <w:rPr>
          <w:rFonts w:hint="eastAsia" w:cs="宋体"/>
          <w:color w:val="000000" w:themeColor="text1"/>
          <w:lang w:val="en-US" w:eastAsia="zh-CN"/>
          <w14:textFill>
            <w14:solidFill>
              <w14:schemeClr w14:val="tx1"/>
            </w14:solidFill>
          </w14:textFill>
        </w:rPr>
        <w:t>各子项预算如下表所示：</w:t>
      </w: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1"/>
        <w:gridCol w:w="4160"/>
        <w:gridCol w:w="1687"/>
        <w:gridCol w:w="1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2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子项目</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概算金额</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lang w:val="en-US" w:eastAsia="zh-CN"/>
              </w:rPr>
            </w:pPr>
            <w:r>
              <w:rPr>
                <w:rFonts w:hint="eastAsia" w:cs="宋体"/>
                <w:i w:val="0"/>
                <w:iCs w:val="0"/>
                <w:color w:val="000000"/>
                <w:sz w:val="22"/>
                <w:szCs w:val="22"/>
                <w:u w:val="none"/>
                <w:lang w:val="en-US" w:eastAsia="zh-CN"/>
              </w:rPr>
              <w:t>一</w:t>
            </w:r>
          </w:p>
        </w:tc>
        <w:tc>
          <w:tcPr>
            <w:tcW w:w="2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和平县乡村振兴农产品展销管理平台运营服务</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2352476.48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r>
              <w:rPr>
                <w:rFonts w:hint="eastAsia"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.1~</w:t>
            </w:r>
            <w:r>
              <w:rPr>
                <w:rFonts w:hint="eastAsia"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2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农产品展销管理平台系统软件开发（电商系统）</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1658100.00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2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农产品展销管理平台系统软件开发（平台对接服务）</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300000.00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2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农产品展销管理平台系统软件开发（大屏数据中心）</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309800.00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2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农产品展销管理平台基础设施租用</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84576.48</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cs="宋体"/>
                <w:i w:val="0"/>
                <w:iCs w:val="0"/>
                <w:color w:val="000000"/>
                <w:kern w:val="2"/>
                <w:sz w:val="22"/>
                <w:szCs w:val="22"/>
                <w:u w:val="none"/>
                <w:lang w:val="en-US" w:eastAsia="zh-CN" w:bidi="ar-SA"/>
              </w:rPr>
              <w:t>二</w:t>
            </w:r>
          </w:p>
        </w:tc>
        <w:tc>
          <w:tcPr>
            <w:tcW w:w="2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和平县乡村振兴农产品展销管理平台人员服务</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2"/>
                <w:sz w:val="22"/>
                <w:szCs w:val="22"/>
                <w:u w:val="none"/>
                <w:lang w:val="en-US" w:eastAsia="zh-CN" w:bidi="ar-SA"/>
              </w:rPr>
              <w:t>1566000</w:t>
            </w:r>
            <w:r>
              <w:rPr>
                <w:rFonts w:hint="eastAsia" w:cs="宋体"/>
                <w:b/>
                <w:bCs/>
                <w:i w:val="0"/>
                <w:iCs w:val="0"/>
                <w:color w:val="000000"/>
                <w:kern w:val="2"/>
                <w:sz w:val="22"/>
                <w:szCs w:val="22"/>
                <w:u w:val="none"/>
                <w:lang w:val="en-US" w:eastAsia="zh-CN" w:bidi="ar-SA"/>
              </w:rPr>
              <w:t>.00</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cs="宋体"/>
                <w:i w:val="0"/>
                <w:iCs w:val="0"/>
                <w:color w:val="000000"/>
                <w:kern w:val="0"/>
                <w:sz w:val="22"/>
                <w:szCs w:val="22"/>
                <w:u w:val="none"/>
                <w:lang w:val="en-US" w:eastAsia="zh-CN" w:bidi="ar"/>
              </w:rPr>
              <w:t>三</w:t>
            </w:r>
          </w:p>
        </w:tc>
        <w:tc>
          <w:tcPr>
            <w:tcW w:w="2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cs="宋体"/>
                <w:i w:val="0"/>
                <w:iCs w:val="0"/>
                <w:color w:val="000000"/>
                <w:kern w:val="0"/>
                <w:sz w:val="22"/>
                <w:szCs w:val="22"/>
                <w:u w:val="none"/>
                <w:lang w:val="en-US" w:eastAsia="zh-CN" w:bidi="ar"/>
              </w:rPr>
              <w:t>税费、</w:t>
            </w:r>
            <w:r>
              <w:rPr>
                <w:rFonts w:hint="eastAsia" w:ascii="宋体" w:hAnsi="宋体" w:eastAsia="宋体" w:cs="宋体"/>
                <w:i w:val="0"/>
                <w:iCs w:val="0"/>
                <w:color w:val="000000"/>
                <w:kern w:val="0"/>
                <w:sz w:val="22"/>
                <w:szCs w:val="22"/>
                <w:u w:val="none"/>
                <w:lang w:val="en-US" w:eastAsia="zh-CN" w:bidi="ar"/>
              </w:rPr>
              <w:t>设计咨询费、工程监理费</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497729.9</w:t>
            </w:r>
            <w:r>
              <w:rPr>
                <w:rFonts w:hint="eastAsia" w:cs="宋体"/>
                <w:b/>
                <w:bCs/>
                <w:i w:val="0"/>
                <w:iCs w:val="0"/>
                <w:color w:val="000000"/>
                <w:kern w:val="0"/>
                <w:sz w:val="22"/>
                <w:szCs w:val="22"/>
                <w:u w:val="none"/>
                <w:lang w:val="en-US" w:eastAsia="zh-CN" w:bidi="ar"/>
              </w:rPr>
              <w:t>2</w:t>
            </w:r>
            <w:r>
              <w:rPr>
                <w:rFonts w:hint="eastAsia" w:ascii="宋体" w:hAnsi="宋体" w:eastAsia="宋体" w:cs="宋体"/>
                <w:b/>
                <w:bCs/>
                <w:i w:val="0"/>
                <w:iCs w:val="0"/>
                <w:color w:val="000000"/>
                <w:kern w:val="0"/>
                <w:sz w:val="22"/>
                <w:szCs w:val="22"/>
                <w:u w:val="none"/>
                <w:lang w:val="en-US" w:eastAsia="zh-CN" w:bidi="ar"/>
              </w:rPr>
              <w:t xml:space="preserve">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r>
              <w:rPr>
                <w:rFonts w:hint="eastAsia"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.1~</w:t>
            </w:r>
            <w:r>
              <w:rPr>
                <w:rFonts w:hint="eastAsia"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2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税费</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235108.59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2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设计咨询费</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119087.60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2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工程监理费</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143533.73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94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信息化建设合计：</w:t>
            </w:r>
          </w:p>
        </w:tc>
        <w:tc>
          <w:tcPr>
            <w:tcW w:w="9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4416206.40 </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2"/>
                <w:szCs w:val="22"/>
                <w:u w:val="none"/>
              </w:rPr>
            </w:pPr>
          </w:p>
        </w:tc>
      </w:tr>
    </w:tbl>
    <w:p>
      <w:pPr>
        <w:spacing w:line="360" w:lineRule="auto"/>
        <w:ind w:firstLine="480"/>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w:t>
      </w:r>
      <w:r>
        <w:rPr>
          <w:rFonts w:hint="eastAsia" w:cs="宋体"/>
          <w:i w:val="0"/>
          <w:iCs w:val="0"/>
          <w:color w:val="000000"/>
          <w:kern w:val="0"/>
          <w:sz w:val="24"/>
          <w:szCs w:val="24"/>
          <w:u w:val="none"/>
          <w:lang w:val="en-US" w:eastAsia="zh-CN" w:bidi="ar"/>
        </w:rPr>
        <w:t>一</w:t>
      </w:r>
      <w:r>
        <w:rPr>
          <w:rFonts w:hint="eastAsia" w:ascii="宋体" w:hAnsi="宋体" w:eastAsia="宋体" w:cs="宋体"/>
          <w:i w:val="0"/>
          <w:iCs w:val="0"/>
          <w:color w:val="000000"/>
          <w:kern w:val="0"/>
          <w:sz w:val="24"/>
          <w:szCs w:val="24"/>
          <w:u w:val="none"/>
          <w:lang w:val="en-US" w:eastAsia="zh-CN" w:bidi="ar"/>
        </w:rPr>
        <w:t>）和平县乡村振兴农产品展销管理平台人员服务和（</w:t>
      </w:r>
      <w:r>
        <w:rPr>
          <w:rFonts w:hint="eastAsia" w:cs="宋体"/>
          <w:i w:val="0"/>
          <w:iCs w:val="0"/>
          <w:color w:val="000000"/>
          <w:kern w:val="0"/>
          <w:sz w:val="24"/>
          <w:szCs w:val="24"/>
          <w:u w:val="none"/>
          <w:lang w:val="en-US" w:eastAsia="zh-CN" w:bidi="ar"/>
        </w:rPr>
        <w:t>二</w:t>
      </w:r>
      <w:r>
        <w:rPr>
          <w:rFonts w:hint="eastAsia" w:ascii="宋体" w:hAnsi="宋体" w:eastAsia="宋体" w:cs="宋体"/>
          <w:i w:val="0"/>
          <w:iCs w:val="0"/>
          <w:color w:val="000000"/>
          <w:kern w:val="0"/>
          <w:sz w:val="24"/>
          <w:szCs w:val="24"/>
          <w:u w:val="none"/>
          <w:lang w:val="en-US" w:eastAsia="zh-CN" w:bidi="ar"/>
        </w:rPr>
        <w:t>）和平县乡村振兴农产品展销管理平台运营服务</w:t>
      </w:r>
      <w:r>
        <w:rPr>
          <w:rFonts w:hint="eastAsia" w:ascii="宋体" w:hAnsi="宋体" w:eastAsia="宋体" w:cs="宋体"/>
          <w:color w:val="000000" w:themeColor="text1"/>
          <w:sz w:val="24"/>
          <w:szCs w:val="24"/>
          <w14:textFill>
            <w14:solidFill>
              <w14:schemeClr w14:val="tx1"/>
            </w14:solidFill>
          </w14:textFill>
        </w:rPr>
        <w:t>费用：</w:t>
      </w:r>
      <w:r>
        <w:rPr>
          <w:rFonts w:hint="eastAsia" w:ascii="宋体" w:hAnsi="宋体" w:eastAsia="宋体" w:cs="宋体"/>
          <w:b/>
          <w:bCs/>
          <w:color w:val="000000" w:themeColor="text1"/>
          <w14:textFill>
            <w14:solidFill>
              <w14:schemeClr w14:val="tx1"/>
            </w14:solidFill>
          </w14:textFill>
        </w:rPr>
        <w:t>¥</w:t>
      </w:r>
      <w:r>
        <w:rPr>
          <w:rFonts w:hint="eastAsia" w:cs="宋体"/>
          <w:b/>
          <w:bCs/>
          <w:color w:val="000000" w:themeColor="text1"/>
          <w:sz w:val="24"/>
          <w:szCs w:val="24"/>
          <w:lang w:val="en-US" w:eastAsia="zh-CN"/>
          <w14:textFill>
            <w14:solidFill>
              <w14:schemeClr w14:val="tx1"/>
            </w14:solidFill>
          </w14:textFill>
        </w:rPr>
        <w:t>391</w:t>
      </w:r>
      <w:r>
        <w:rPr>
          <w:rFonts w:hint="eastAsia" w:ascii="宋体" w:hAnsi="宋体" w:eastAsia="宋体" w:cs="宋体"/>
          <w:b/>
          <w:bCs/>
          <w:color w:val="000000" w:themeColor="text1"/>
          <w:sz w:val="24"/>
          <w:szCs w:val="24"/>
          <w:lang w:val="en-US" w:eastAsia="zh-CN"/>
          <w14:textFill>
            <w14:solidFill>
              <w14:schemeClr w14:val="tx1"/>
            </w14:solidFill>
          </w14:textFill>
        </w:rPr>
        <w:t>.</w:t>
      </w:r>
      <w:r>
        <w:rPr>
          <w:rFonts w:hint="eastAsia" w:cs="宋体"/>
          <w:b/>
          <w:bCs/>
          <w:color w:val="000000" w:themeColor="text1"/>
          <w:sz w:val="24"/>
          <w:szCs w:val="24"/>
          <w:lang w:val="en-US" w:eastAsia="zh-CN"/>
          <w14:textFill>
            <w14:solidFill>
              <w14:schemeClr w14:val="tx1"/>
            </w14:solidFill>
          </w14:textFill>
        </w:rPr>
        <w:t>85</w:t>
      </w:r>
      <w:r>
        <w:rPr>
          <w:rFonts w:hint="eastAsia" w:ascii="宋体" w:hAnsi="宋体" w:eastAsia="宋体" w:cs="宋体"/>
          <w:color w:val="000000" w:themeColor="text1"/>
          <w:sz w:val="24"/>
          <w:szCs w:val="24"/>
          <w:lang w:val="en-US" w:eastAsia="zh-CN"/>
          <w14:textFill>
            <w14:solidFill>
              <w14:schemeClr w14:val="tx1"/>
            </w14:solidFill>
          </w14:textFill>
        </w:rPr>
        <w:t>万元，由乡村振兴资金和深圳福田区帮扶资金解决，和平县乡村振兴局</w:t>
      </w:r>
      <w:r>
        <w:rPr>
          <w:rFonts w:hint="eastAsia" w:cs="宋体"/>
          <w:color w:val="000000" w:themeColor="text1"/>
          <w:sz w:val="24"/>
          <w:szCs w:val="24"/>
          <w:lang w:val="en-US" w:eastAsia="zh-CN"/>
          <w14:textFill>
            <w14:solidFill>
              <w14:schemeClr w14:val="tx1"/>
            </w14:solidFill>
          </w14:textFill>
        </w:rPr>
        <w:t>委托</w:t>
      </w:r>
      <w:r>
        <w:rPr>
          <w:rFonts w:hint="eastAsia" w:ascii="宋体" w:hAnsi="宋体" w:eastAsia="宋体" w:cs="宋体"/>
          <w:color w:val="000000" w:themeColor="text1"/>
          <w:sz w:val="24"/>
          <w:szCs w:val="24"/>
          <w:lang w:val="en-US" w:eastAsia="zh-CN"/>
          <w14:textFill>
            <w14:solidFill>
              <w14:schemeClr w14:val="tx1"/>
            </w14:solidFill>
          </w14:textFill>
        </w:rPr>
        <w:t>和平县工业商务和信息化局实施。</w:t>
      </w:r>
    </w:p>
    <w:bookmarkEnd w:id="2"/>
    <w:bookmarkEnd w:id="3"/>
    <w:p>
      <w:pPr>
        <w:pStyle w:val="3"/>
        <w:tabs>
          <w:tab w:val="clear" w:pos="3402"/>
          <w:tab w:val="clear" w:pos="3828"/>
        </w:tabs>
        <w:rPr>
          <w:rFonts w:ascii="Times New Roman" w:hAnsi="Times New Roman"/>
          <w:color w:val="000000" w:themeColor="text1"/>
          <w:szCs w:val="32"/>
          <w14:textFill>
            <w14:solidFill>
              <w14:schemeClr w14:val="tx1"/>
            </w14:solidFill>
          </w14:textFill>
        </w:rPr>
      </w:pPr>
      <w:bookmarkStart w:id="39" w:name="_Toc353788121"/>
      <w:bookmarkEnd w:id="39"/>
      <w:bookmarkStart w:id="40" w:name="_Toc333997889"/>
      <w:bookmarkEnd w:id="40"/>
      <w:bookmarkStart w:id="41" w:name="_Toc27679943"/>
      <w:bookmarkStart w:id="42" w:name="_Toc13936"/>
      <w:bookmarkStart w:id="43" w:name="_Toc27935565"/>
      <w:r>
        <w:rPr>
          <w:rFonts w:hint="eastAsia" w:ascii="Times New Roman" w:hAnsi="Times New Roman"/>
          <w:color w:val="000000" w:themeColor="text1"/>
          <w:szCs w:val="32"/>
          <w14:textFill>
            <w14:solidFill>
              <w14:schemeClr w14:val="tx1"/>
            </w14:solidFill>
          </w14:textFill>
        </w:rPr>
        <w:t>项目单位概况</w:t>
      </w:r>
      <w:bookmarkEnd w:id="41"/>
      <w:bookmarkEnd w:id="42"/>
      <w:bookmarkEnd w:id="43"/>
    </w:p>
    <w:p>
      <w:pPr>
        <w:pStyle w:val="4"/>
        <w:rPr>
          <w:color w:val="000000" w:themeColor="text1"/>
          <w14:textFill>
            <w14:solidFill>
              <w14:schemeClr w14:val="tx1"/>
            </w14:solidFill>
          </w14:textFill>
        </w:rPr>
      </w:pPr>
      <w:bookmarkStart w:id="44" w:name="_Toc16936"/>
      <w:bookmarkStart w:id="45" w:name="_Toc27679944"/>
      <w:bookmarkStart w:id="46" w:name="_Toc27935566"/>
      <w:r>
        <w:rPr>
          <w:rFonts w:hint="eastAsia"/>
          <w:color w:val="000000" w:themeColor="text1"/>
          <w14:textFill>
            <w14:solidFill>
              <w14:schemeClr w14:val="tx1"/>
            </w14:solidFill>
          </w14:textFill>
        </w:rPr>
        <w:t>项目单位概况</w:t>
      </w:r>
      <w:bookmarkEnd w:id="44"/>
    </w:p>
    <w:p>
      <w:pPr>
        <w:pStyle w:val="5"/>
      </w:pPr>
      <w:bookmarkStart w:id="47" w:name="_Toc12695"/>
      <w:r>
        <w:rPr>
          <w:rFonts w:hint="eastAsia"/>
        </w:rPr>
        <w:t>项目单位简介</w:t>
      </w:r>
      <w:bookmarkEnd w:id="45"/>
      <w:bookmarkEnd w:id="46"/>
      <w:bookmarkEnd w:id="47"/>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和平县工业商务和信息化局贯彻落实党中央、省委、市委关于工业商务和信息化工作的方针政策和决策部署，按照县委工作要求，在履行职责过程中坚持和加强党对工业商务和信息化工作的集中统一领导。主要职责是：</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贯彻执行国家、省、市有关国民经济运行、商务管理、科技发展、民营经济和信息化工作的方针政策和法律法规。研究提出全县新型工业化发展战略，研究国内外贸易、现代流通方式的发展趋势并提出政策建议。推进信息化与工业、商务经济融合发展。综合协调有关部门拟订全县民营企业的发展战略、中长期发展规划并组织实施。</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拟订并组织实施工业、商务、科技、信息化领域发展规划、计划及相关产业政策。指导工业企业加强质量管理，牵头实施品牌带动战略。拟订市场体系建设、内外贸易发展、投资的政策措施并组织实施，加快推进现代市场体系建设，推进内外贸易融合发展。优化商贸流通产业布局和结构。</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（三）监测分析工业、商务、信息化领域运行态势并做好相关信息发布，进行预测预警和信息引导，协调解决行业运行发展中的重大问题并提出政策建议。牵头负责企业情况综合工作。</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四）指导工业、信息化领域的技术进步、技术创新、重大技术装备国产化、重大技术装备研制工作，推进科研成果产业化。执行有关固定资产投资政策，审核、上报和办理需经国家、省、市和县审批、核准的工业、信息化领域企业技术改造投资项目，促进工业投资</w:t>
      </w:r>
      <w:r>
        <w:rPr>
          <w:rFonts w:hint="eastAsia"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负责归口的各项财政专项资金和经费的总体计划、实施管理、绩效评价等工作。</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五）拟订工业、信息化领域能源节约、循环经济、资源综合利用和清洁生产促进的专项规划及政策措施并组织实施。推进绿色制造。协调以节能降耗为主要内容的相关重大示范工程和新产品、新技术、新设备、新材料的推广应用。</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（六）拟订承接产业转移相关规划和政策措施，工业园区中长期发展规划和政策措施并组织实施。承担工业园区的综合协调和提质发展、扩能增效工作，研究协调工业园区发展中的重大问题，提出政策建议。</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（七）负责中小企业和民营经济的宏观指导和服务，综合协调有关部门拟订促进中小企业和民营经济发展的政策措施。协调解决中小企业和民营经济发展中的有关重大问题。促进中小企业与大企业融通发展。</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八）负责整顿和规范市场经济秩序的相关协调工作。拟订并组织实施规范市场运行、流通秩序的政策措施。指导和管理再生资源回收相关工作。依法对汽车流通和旧货流通业等进行监督管理。监测分析经济运行态势、商品供求。负责建立健全生活必需品市场供应应急管理机制。</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九）拟订并组织实施会展、电子商务、商贸服务等发展规划和政策措施。推进连锁经营、商业特许经营、物流配送等现代流通方式发展。促进贸易增长方式转变，指导和协调贸易促进体系建设，推动电子商务服务体系和平台建设。推动流通业品牌建设。</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十）拟订外商投资政策和改革方案并组织实施，依法管理外商投资企业和项目有关事项。指导加工贸易工作，依法监督管理本县加工贸易进出口工作。组织实施进出口商品目录。组织实施重要工业品、原材料和重要农产品（除粮食、棉花外）进出口计划以及进出口商品配额、关税配额计划。拟订全县服务贸易发展计划，制定促进服务出口和服务外包发展的规划、政策措施并组织实施。推动服务外包平台建设。</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十一）负责国内外经济合作工作。拟定并组织实施有关经济合作的政策措施和管理办法。拟定本县对外投资规划、计划并组织实施。负责对外投资管理和服务工作。依法管理、监督和服务对外承包工程、对外劳务合作等对外经济合作业务。</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（十二）拟订并组织实施优化机电产品、高新技术产品进出口结构和对外贸易的政策措施。组织实施科技兴贸战略和国际品牌建设。推进进出口贸易标准化。</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十三）承担组织协调反倾销、反补贴、保障措施及其他进出口公平贸易相关工作。综合协调本县有关世界贸易组织事务的具体工作。依法组织产业损害调查及其他贸易救济措施，指导协调国外对本县出口商品的反倾销、反补贴、保障措施的应诉工作。</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十四）拟订本县招商引资计划并组织实施。负责全县招商引资相关政策措施的研究、制订和督查落实。承担重大项目对外招商和跟踪服务工作。宣传推介全县招商引资政策和投资环境。负责统筹全县招商引资一盘棋工作。</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十五）统筹推进国民经济和社会信息化工作，协调指导经济社会领域的信息化应用。承担促进数字经济和大数据产业的发展工作。推进新一代信息技术和互联网的普及应用，促进信息化和工业化融合。协调推进信息安全保障体系建设和信息化基础设施建设。建立市场诚信公共服务平台，推动商务领域信用建设。</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（十六）协助配置和管理无线电频谱资源，协助依法监督管理无线电台（站）。协助开展无线电监测、检测、干扰查处工作和协调处理电磁干扰事宜，协助维护空中电波秩序，协助依法组织实施无线电管制。</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（十七）拟订民用爆炸物品发展规划和政策措施，组织实施民用爆炸物品生产销售环节建设项目、科技项目管理和产品质量监管。负责民用爆炸物品生产销售环节安全的监督管理。</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十八）贯彻执行国家和省、市有关科学技术工作法律法规，编制和实施全县中长期科技发展规划和年度计划，负责统筹协调基础研究、前沿技术研究、开发研究等科技规划。统筹推进科技企业孵化育成体系建设。组织拟订科技促进农村和社会发展的措施，会同有关部门推进专业镇科技创新示范试点建设。培育发展民办科研机构，优化科研机构布局。负责科技人才队伍建设。负责管理产业技术研究与开发资金、科技专项资金、科学技术奖提名推荐工作。</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（十九）完成县委、县政府和市工业和信息化局、市商务局、市科学技术局交办的其他任务。</w:t>
      </w:r>
    </w:p>
    <w:p>
      <w:pPr>
        <w:pStyle w:val="5"/>
      </w:pPr>
      <w:bookmarkStart w:id="48" w:name="_Toc27935567"/>
      <w:bookmarkStart w:id="49" w:name="_Toc27679945"/>
      <w:bookmarkStart w:id="50" w:name="_Toc12278"/>
      <w:r>
        <w:rPr>
          <w:rFonts w:hint="eastAsia"/>
        </w:rPr>
        <w:t>组织机构</w:t>
      </w:r>
      <w:bookmarkEnd w:id="48"/>
      <w:bookmarkEnd w:id="49"/>
      <w:bookmarkEnd w:id="50"/>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和平县工业商务和信息化局设下列内设机构：</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办公室。负责文电、会务、机要、档案等机关日常工作。承担有关规范性文件的合法性审查。承担信息、安全、保密、信访、政务公开等工作。组织协调宣传工作，分析和发布重要信息。负责机关党务、廉政建设、工会、共青团和后勤服务工作。承担机关财务管理工作。负责机关财务预算决算、基本建设和资产管理、内部审计等工作。负责归口的各项财政专项资金和经费的总体计划、实施管理、绩效评价等工作。</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经济运行股。组织编制实施工业、信息化领域企业重点技术改造投资计划。组织实施省、市、县有关重点技术改造投资计划。审核、上报和办理需经国家、省、市和县审批、核准、备案的相关领域技术改造投资项目。提出促进相关领域企业技术改造投资的措施和建议，指导相关领域技术改造项目设备招标工作。参与工业和信息化领域固定资产投资项目审核、上报工作。拟订工业和信息化领域循环经济、资源综合利用和清洁生产促进的专项规划及政策措施并组织实施。推进绿色制造。协调以节能降耗为主要内容的工业和信息化领域相关重大示范工程和新产品、新技术、新设备、新材料的推广应用。组织拟订行业技术规范和标准，指导企业质量管理工作。承担国防科技工业的综合协调和管理工作，促进军民融合发展。指导、协助县工业园区拟定产业转移总体规划和政策措施、产业转移工业园区中长期发展规划和政策措施；负责有关工业园区建设发展的规划建设政策引导、协调、指导和管理工作。负责有关开发区情况汇总、评价工作。研究分析有关开发区建设中的重大</w:t>
      </w:r>
      <w:r>
        <w:rPr>
          <w:rFonts w:hint="eastAsia" w:cs="宋体"/>
          <w:color w:val="000000" w:themeColor="text1"/>
          <w:sz w:val="24"/>
          <w:szCs w:val="24"/>
          <w:lang w:val="en-US" w:eastAsia="zh-CN"/>
          <w14:textFill>
            <w14:solidFill>
              <w14:schemeClr w14:val="tx1"/>
            </w14:solidFill>
          </w14:textFill>
        </w:rPr>
        <w:t>问</w:t>
      </w:r>
      <w:r>
        <w:rPr>
          <w:rFonts w:hint="eastAsia" w:ascii="宋体" w:hAnsi="宋体" w:eastAsia="宋体" w:cs="宋体"/>
          <w:color w:val="000000" w:themeColor="text1"/>
          <w:sz w:val="24"/>
          <w:szCs w:val="24"/>
          <w:lang w:val="en-US" w:eastAsia="zh-CN"/>
          <w14:textFill>
            <w14:solidFill>
              <w14:schemeClr w14:val="tx1"/>
            </w14:solidFill>
          </w14:textFill>
        </w:rPr>
        <w:t>题。组织实施钢铁、有色、稀土、石化（不含炼油）、化工（不含煤制燃料和燃料乙醇）、建材等原材料工业行业管理。</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三）商贸服务股。拟订商贸流通业发展规划、产业政策并监督执行。组织实施商贸服务业（含批发、零售、家政、餐饮业、住宿业等）行业管理。推行连锁经营等现代流通方式，促进商贸流通体制改革。指导社区商业发展。指导和管理再生资源回收工作。协调烟草工业生产和专卖管理。拟订民用爆炸物品行业发展规划政策措施，承担民用爆炸物品的行业管理及其生产流通安全的监督管理。组织实施民用爆炸物品建设项目验收、科技项目管理和产品质量监督。承担民用爆炸物品行业运行监测分析工作。建立市场诚信公共服务平台，推动商贸领域诚信建设。负责贯彻执行国家和省有关盐业管理的方针政策和法律法规，监测、分析盐业行业经济运行态势，保证盐业行业发展稳定，负责工业盐管理工作。组织落实国家储备盐制度和食盐供应应急管理。负责拟订药品流通发展规划和政策。承担茧丝绸协调工作。制定全县物流业发展规划、计划和政策措施并组织实施，推进生产性服务业功能区和公共服务平台建设。监测分析市场运行态势、商品供求情况，调查分析商品价格信息，进行预测预警和信息引导。承担建立健全生活必需品市场供应和应急管理机制相关工作。承担重要生产资料流通相关工作。会同有关部门拟订促进服务贸易进出口政策、规划并组织实施。承担服务贸易进出口管理、统计工作。拟订服务外包发展规划和政策，推动服务外包平台建设。提出促进商贸中小企业发展的政策建议。负责管理会展业。</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四）信息化股（县无线电管理办公室）。拟订制造业与互联网融合发展、工业互联网创新应用、新一代信息技术与制造业融合发展的专项规划和政策措施并组织实施。牵头组织工业互联网平台建设及应用推广等工作。推动新一代</w:t>
      </w:r>
      <w:r>
        <w:rPr>
          <w:rFonts w:hint="eastAsia" w:cs="宋体"/>
          <w:color w:val="000000" w:themeColor="text1"/>
          <w:sz w:val="24"/>
          <w:szCs w:val="24"/>
          <w:lang w:val="en-US" w:eastAsia="zh-CN"/>
          <w14:textFill>
            <w14:solidFill>
              <w14:schemeClr w14:val="tx1"/>
            </w14:solidFill>
          </w14:textFill>
        </w:rPr>
        <w:t>信息</w:t>
      </w:r>
      <w:r>
        <w:rPr>
          <w:rFonts w:hint="eastAsia" w:ascii="宋体" w:hAnsi="宋体" w:eastAsia="宋体" w:cs="宋体"/>
          <w:color w:val="000000" w:themeColor="text1"/>
          <w:sz w:val="24"/>
          <w:szCs w:val="24"/>
          <w:lang w:val="en-US" w:eastAsia="zh-CN"/>
          <w14:textFill>
            <w14:solidFill>
              <w14:schemeClr w14:val="tx1"/>
            </w14:solidFill>
          </w14:textFill>
        </w:rPr>
        <w:t>技术和互联网的普及应用。拟订促进数字经济和大数据产业发展的战略、规划、和政策措施并组织实施。承担信息网络设施建设规划、管理的有关协调工作。协调推进信息化基础设施建设。协调通信管线、站点、公共通信网规划。协助无线电频率的规划、分配与指导工作。协助依法监督管理无线电台（站），协调处理军地间无线电管理相关事宜，协助开展无线电监测、检测及干扰查处和协调处理电磁干扰事宜，协助维护空中电波秩序，协助依法组织实施无线电管制。</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五）商务综合股。拟订全县对外贸易发展战略、发展规划和体制改革方案，提出促进对外贸易发展的建议。核准不需要省、市综合平衡条件的外商投资项目审批设立、变更终止（包括合同、章程及其变更和终止）。审核外商投资企业权益质押。协调外商投资企业在口岸、海关、外管、检验检疫相关业务工作。指导和监督各类交易会、展览会以及赴外举办展销会、洽谈会等活动。参与外经贸出口退税管理。组织实施机电产品以外的进出口商品目录。承担企业申请限制类商品进出口经营资质相关工作。组织实施重要工业品、原材料和重要农产品（除粮食、棉花外）进出口计划以及进出口商品配额、关税配额计划。根据授权办理有关进出口许可证事项。协调供应港澳的配额商品工作。负责易制毒化学品的进出口管理。会同有关部门处理涉外知识产权和贸易纠纷。负责反倾销、反补贴、保障措施和产业损害调查等涉及进出口公平贸易的相关工作，指导应对国外技术性贸易壁垒。负责县政府重大项目引进的协调跟踪和督办工作。负责全县招商引资相关政策措施的研究、制订和督查落实。依法对汽车流通、旧货流通业等进行监督管理。指导协调全县对外贸易促进体系建设，优化对外贸易发展环境。调整对外贸易商品建构，促进对外贸易发展方式转变。指导、协调、推进外贸品牌建设工作。承担机电和高新技术产品贸易促进工作。实施两用物项和进出口管制。</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六）电子商务股。拟订有关电子商务发展规划、计划和政策措施并组织实施。推动电子商务服务体系和平台建设。促进电子商务推广与应用。促进网络零售、电子商务服务业等多业态发展。承担跨境电子商务、电商统计分析相关工作。</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七）民营经济服务股。拟订促进中小企业和民营经济发展的政策措施并组织实施。推动有关中小企业法律法规的贯彻落实。协调解决中小企业和民营经济发展的重大问题。推动建立中小企业合法权益维护机制。协调组织对中小企业促进工作情况的监督检查。指导中小企业创业创新服务。推动中小企业对外合作交流。研究提出中小企业和民营经济融资的政策措施。推进拓宽中小企业融资渠道。指导中小企业与大企业融通发展。</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八）科技发展规划与产学研结合股。组织拟订科技发展规划和年度计划，会同有关部门拟订科技重大专项实施办法，提出综合平衡、方案调整和相关配套政策建议并跟踪和监督实施。拟订全县创新体系建设规划和科普工作规划。牵头拟订产学研结合的政策措施，编制产学研结合发展规划、年度计划和产学研结合专项资金项目并组织实施。负责组织产学研创新联盟、产学研结合示范基地建设和产业创新平台建设。组织申报实施企业科技特派员行动计划。推动建立以企业为主体、产学研紧密结合的技术创新体系。负责工程技术研究开发中心和技术创新专业镇的建设工作。承担科技金融结合、科技统计管理工作。承担县科技装备动员办公室日常工作。</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九）社会发展与农村科技股。拟订社会发展领域科技发展、科技促进农业和农业发展的相关政策措施和规划。组织实施社会发展领域相关科技规划、农业科技攻关计划、农业科技专项计划。推动农业和农村科技进步。指导农业科技成果应用示范，指导乡镇企业的技术创新工作。指导农业科技园区、产业基地建设的有关工作。组织申报实施社会发展计划和社会发展方面的科技攻关计划。组织实施涉及人口资源、环境、医药卫生和可持续发展等科技工作。</w:t>
      </w:r>
    </w:p>
    <w:p>
      <w:pPr>
        <w:spacing w:line="360" w:lineRule="auto"/>
        <w:ind w:firstLine="480"/>
      </w:pPr>
      <w:r>
        <w:rPr>
          <w:rFonts w:hint="eastAsia" w:ascii="宋体" w:hAnsi="宋体" w:eastAsia="宋体" w:cs="宋体"/>
          <w:color w:val="000000" w:themeColor="text1"/>
          <w:sz w:val="24"/>
          <w:szCs w:val="24"/>
          <w:lang w:val="en-US" w:eastAsia="zh-CN"/>
          <w14:textFill>
            <w14:solidFill>
              <w14:schemeClr w14:val="tx1"/>
            </w14:solidFill>
          </w14:textFill>
        </w:rPr>
        <w:t>（十）人事教育股。负责机关人事管理、机构编制、劳动工资、职工档案等工作。组织干部职工开展教育培训工作。指导工业、信息化、商务和科技领域的人才队伍建设。负责做好国有企业人员归档管理和协助办理相关业务工作。做好局机关离退休人员服务工作。</w:t>
      </w:r>
    </w:p>
    <w:p>
      <w:pPr>
        <w:pStyle w:val="4"/>
      </w:pPr>
      <w:bookmarkStart w:id="51" w:name="_Toc388"/>
      <w:r>
        <w:rPr>
          <w:rFonts w:hint="eastAsia"/>
        </w:rPr>
        <w:t>本单位信息化现状</w:t>
      </w:r>
      <w:bookmarkEnd w:id="51"/>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在国家电子商务进农村综合示范创建中，举全县之力，切实按照综合示范创建要求，按时完成各项建设任务，到目前止，共建成环境一流、设施一流、交通一流、实效一流的电商公共服务中心1个，物流仓储中心1个，镇村站点191个，打造区域公用品牌“耘客和礼”1个，搭建天猫、京东线上特色馆2个，农产品上行体系完善，人才培训任务完成，电子商务已成为和平县县域经济发展和农村经济的新业态、新动能、新载体，脱贫攻坚、乡村振兴的强大引擎。据统计，2021年1-7月份全县电子商务交易额9.51亿元，同比增长34.8%；农产品网络零售额1.23亿元，同比增长35.2%；镇村电商站点网络零售额686.68万元,同比增长33.2%；工业产品下行944.11万件，同比增长65.13%；农特产品上行166.03万件，同比增长32.4%。</w:t>
      </w:r>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2019年</w:t>
      </w:r>
      <w:r>
        <w:rPr>
          <w:rFonts w:hint="eastAsia" w:ascii="宋体" w:hAnsi="宋体" w:eastAsia="宋体" w:cs="宋体"/>
          <w:sz w:val="24"/>
        </w:rPr>
        <w:t>和平县国家级电子商务进农村综合示范项目</w:t>
      </w:r>
      <w:r>
        <w:rPr>
          <w:rFonts w:hint="eastAsia" w:ascii="宋体" w:hAnsi="宋体" w:eastAsia="宋体" w:cs="宋体"/>
          <w:sz w:val="24"/>
          <w:lang w:val="en-US" w:eastAsia="zh-CN"/>
        </w:rPr>
        <w:t>建设内容如下所示：</w:t>
      </w:r>
    </w:p>
    <w:p>
      <w:pPr>
        <w:pStyle w:val="16"/>
        <w:numPr>
          <w:ilvl w:val="0"/>
          <w:numId w:val="10"/>
        </w:numPr>
        <w:spacing w:line="360" w:lineRule="auto"/>
        <w:ind w:firstLine="480" w:firstLineChars="20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电子商务服务站点建设项目（村级电子商务服务站点建设项目）：在原有省级电子商务示范项目中已建设169个镇村服务站点的基础上新增22个村级站点。</w:t>
      </w:r>
    </w:p>
    <w:p>
      <w:pPr>
        <w:pStyle w:val="42"/>
        <w:numPr>
          <w:ilvl w:val="0"/>
          <w:numId w:val="10"/>
        </w:numPr>
        <w:spacing w:line="360" w:lineRule="auto"/>
        <w:ind w:left="0" w:leftChars="0" w:firstLine="480" w:firstLineChars="20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电子商务服务站点建设项目（视频监控联网系统项目）：在191个镇村电子商务服务站（含已建设的169个服务站点及新增的22个服务站点）的视频监控及1个电商服务中心监控控制台（每个站点一个摄像头，通过监控中心进行同步存储，存储时间为15天）。</w:t>
      </w:r>
    </w:p>
    <w:p>
      <w:pPr>
        <w:pStyle w:val="42"/>
        <w:numPr>
          <w:ilvl w:val="0"/>
          <w:numId w:val="10"/>
        </w:numPr>
        <w:spacing w:line="360" w:lineRule="auto"/>
        <w:ind w:left="0" w:leftChars="0" w:firstLine="480" w:firstLineChars="200"/>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default" w:ascii="宋体" w:hAnsi="宋体" w:eastAsia="宋体" w:cs="宋体"/>
          <w:color w:val="000000" w:themeColor="text1"/>
          <w:kern w:val="2"/>
          <w:sz w:val="24"/>
          <w:szCs w:val="24"/>
          <w:lang w:val="en-US" w:eastAsia="zh-CN" w:bidi="ar-SA"/>
          <w14:textFill>
            <w14:solidFill>
              <w14:schemeClr w14:val="tx1"/>
            </w14:solidFill>
          </w14:textFill>
        </w:rPr>
        <w:t>公共服务体系（和平县电子商务公共服务中心运营项目）</w:t>
      </w:r>
      <w:r>
        <w:rPr>
          <w:rFonts w:hint="eastAsia" w:ascii="宋体" w:hAnsi="宋体" w:eastAsia="宋体" w:cs="宋体"/>
          <w:color w:val="000000" w:themeColor="text1"/>
          <w:kern w:val="2"/>
          <w:sz w:val="24"/>
          <w:szCs w:val="24"/>
          <w:lang w:val="en-US" w:eastAsia="zh-CN" w:bidi="ar-SA"/>
          <w14:textFill>
            <w14:solidFill>
              <w14:schemeClr w14:val="tx1"/>
            </w14:solidFill>
          </w14:textFill>
        </w:rPr>
        <w:t>：承建方</w:t>
      </w:r>
      <w:r>
        <w:rPr>
          <w:rFonts w:hint="eastAsia" w:ascii="宋体" w:hAnsi="宋体" w:cs="宋体"/>
          <w:color w:val="000000" w:themeColor="text1"/>
          <w:kern w:val="2"/>
          <w:sz w:val="24"/>
          <w:szCs w:val="24"/>
          <w:lang w:val="en-US" w:eastAsia="zh-CN" w:bidi="ar-SA"/>
          <w14:textFill>
            <w14:solidFill>
              <w14:schemeClr w14:val="tx1"/>
            </w14:solidFill>
          </w14:textFill>
        </w:rPr>
        <w:t>提供和平县电子商务公共服务中心运营服务；</w:t>
      </w:r>
      <w:r>
        <w:rPr>
          <w:rFonts w:hint="eastAsia" w:ascii="宋体" w:hAnsi="宋体" w:eastAsia="宋体" w:cs="宋体"/>
          <w:color w:val="000000" w:themeColor="text1"/>
          <w:kern w:val="2"/>
          <w:sz w:val="24"/>
          <w:szCs w:val="24"/>
          <w:lang w:val="en-US" w:eastAsia="zh-CN" w:bidi="ar-SA"/>
          <w14:textFill>
            <w14:solidFill>
              <w14:schemeClr w14:val="tx1"/>
            </w14:solidFill>
          </w14:textFill>
        </w:rPr>
        <w:t>提供电子商务公共服务中心和镇村电商服务站点(191个站点)设备、网络维护</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企业孵化</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金融服务</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电商服务（客服、摄影、美工）</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人才孵化</w:t>
      </w:r>
      <w:r>
        <w:rPr>
          <w:rFonts w:hint="eastAsia" w:ascii="宋体" w:hAnsi="宋体" w:cs="宋体"/>
          <w:color w:val="000000" w:themeColor="text1"/>
          <w:kern w:val="2"/>
          <w:sz w:val="24"/>
          <w:szCs w:val="24"/>
          <w:lang w:val="en-US" w:eastAsia="zh-CN" w:bidi="ar-SA"/>
          <w14:textFill>
            <w14:solidFill>
              <w14:schemeClr w14:val="tx1"/>
            </w14:solidFill>
          </w14:textFill>
        </w:rPr>
        <w:t>等服务；提供项目经理、培训主管、财务会计、营销专员、文案策划师、项目专员、设备运维人员共12名服务人员；提供运营服务期内（3年）经费支出，包含县电子商务公共服务中心房租、水、电、网络、物业费等相关费用、县电子商务公共服务中心及镇村电商服务站点(191个站点)设备、网络维护等费用、中心服务人员工资福利等相关费用等。</w:t>
      </w:r>
    </w:p>
    <w:p>
      <w:pPr>
        <w:pStyle w:val="42"/>
        <w:numPr>
          <w:ilvl w:val="0"/>
          <w:numId w:val="10"/>
        </w:numPr>
        <w:spacing w:line="360" w:lineRule="auto"/>
        <w:ind w:left="0" w:leftChars="0" w:firstLine="480" w:firstLineChars="200"/>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default" w:ascii="宋体" w:hAnsi="宋体" w:eastAsia="宋体" w:cs="宋体"/>
          <w:color w:val="000000" w:themeColor="text1"/>
          <w:kern w:val="2"/>
          <w:sz w:val="24"/>
          <w:szCs w:val="24"/>
          <w:lang w:val="en-US" w:eastAsia="zh-CN" w:bidi="ar-SA"/>
          <w14:textFill>
            <w14:solidFill>
              <w14:schemeClr w14:val="tx1"/>
            </w14:solidFill>
          </w14:textFill>
        </w:rPr>
        <w:t>农产品上行体系（质量安全追溯体系项目）</w:t>
      </w:r>
      <w:r>
        <w:rPr>
          <w:rFonts w:hint="eastAsia" w:ascii="宋体" w:hAnsi="宋体" w:eastAsia="宋体" w:cs="宋体"/>
          <w:color w:val="000000" w:themeColor="text1"/>
          <w:kern w:val="2"/>
          <w:sz w:val="24"/>
          <w:szCs w:val="24"/>
          <w:lang w:val="en-US" w:eastAsia="zh-CN" w:bidi="ar-SA"/>
          <w14:textFill>
            <w14:solidFill>
              <w14:schemeClr w14:val="tx1"/>
            </w14:solidFill>
          </w14:textFill>
        </w:rPr>
        <w:t>：包含企业农产品上行质量安全管理标准化体系建设（标准化体系）、企业质量追溯体系系统、农田气象工作站、视频监控追溯系统等内容。</w:t>
      </w:r>
    </w:p>
    <w:p>
      <w:pPr>
        <w:pStyle w:val="42"/>
        <w:numPr>
          <w:ilvl w:val="0"/>
          <w:numId w:val="10"/>
        </w:numPr>
        <w:spacing w:line="360" w:lineRule="auto"/>
        <w:ind w:left="0" w:leftChars="0" w:firstLine="480" w:firstLineChars="200"/>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default" w:ascii="宋体" w:hAnsi="宋体" w:eastAsia="宋体" w:cs="宋体"/>
          <w:color w:val="000000" w:themeColor="text1"/>
          <w:kern w:val="2"/>
          <w:sz w:val="24"/>
          <w:szCs w:val="24"/>
          <w:lang w:val="en-US" w:eastAsia="zh-CN" w:bidi="ar-SA"/>
          <w14:textFill>
            <w14:solidFill>
              <w14:schemeClr w14:val="tx1"/>
            </w14:solidFill>
          </w14:textFill>
        </w:rPr>
        <w:t>农产品上行体系（线上特色馆天猫旗舰店搭建项目）</w:t>
      </w:r>
      <w:r>
        <w:rPr>
          <w:rFonts w:hint="eastAsia" w:ascii="宋体" w:hAnsi="宋体" w:eastAsia="宋体" w:cs="宋体"/>
          <w:color w:val="000000" w:themeColor="text1"/>
          <w:kern w:val="2"/>
          <w:sz w:val="24"/>
          <w:szCs w:val="24"/>
          <w:lang w:val="en-US" w:eastAsia="zh-CN" w:bidi="ar-SA"/>
          <w14:textFill>
            <w14:solidFill>
              <w14:schemeClr w14:val="tx1"/>
            </w14:solidFill>
          </w14:textFill>
        </w:rPr>
        <w:t>：</w:t>
      </w:r>
      <w:r>
        <w:rPr>
          <w:rFonts w:hint="eastAsia" w:ascii="宋体" w:hAnsi="宋体" w:cs="仿宋"/>
          <w:sz w:val="24"/>
        </w:rPr>
        <w:t>培育并打造和平县区域公共品牌和标杆网货品牌，重点打造1－2个产业化、带动性优势明显的特色品类，形成农产品上行的拳头产品，并在标准化建设、溯源体系、包装和物流优化、品牌营销等方面形成支撑。</w:t>
      </w:r>
      <w:r>
        <w:rPr>
          <w:rFonts w:hint="eastAsia" w:ascii="宋体" w:hAnsi="宋体" w:cs="仿宋"/>
          <w:sz w:val="24"/>
          <w:lang w:val="en-US" w:eastAsia="zh-CN"/>
        </w:rPr>
        <w:t>提供服务人员及场地设备租用服务。</w:t>
      </w:r>
    </w:p>
    <w:p>
      <w:pPr>
        <w:pStyle w:val="42"/>
        <w:numPr>
          <w:ilvl w:val="0"/>
          <w:numId w:val="10"/>
        </w:numPr>
        <w:spacing w:line="360" w:lineRule="auto"/>
        <w:ind w:left="0" w:leftChars="0" w:firstLine="480" w:firstLineChars="200"/>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农产品上行体系（和平县公用品牌推广项目）</w:t>
      </w:r>
      <w:r>
        <w:rPr>
          <w:rFonts w:hint="eastAsia" w:ascii="宋体" w:hAnsi="宋体" w:cs="宋体"/>
          <w:color w:val="000000" w:themeColor="text1"/>
          <w:kern w:val="2"/>
          <w:sz w:val="24"/>
          <w:szCs w:val="24"/>
          <w:lang w:val="en-US" w:eastAsia="zh-CN" w:bidi="ar-SA"/>
          <w14:textFill>
            <w14:solidFill>
              <w14:schemeClr w14:val="tx1"/>
            </w14:solidFill>
          </w14:textFill>
        </w:rPr>
        <w:t>：包含</w:t>
      </w:r>
      <w:r>
        <w:rPr>
          <w:rFonts w:hint="eastAsia" w:ascii="宋体" w:hAnsi="宋体"/>
          <w:sz w:val="24"/>
        </w:rPr>
        <w:t>央视媒体投放服务</w:t>
      </w:r>
      <w:r>
        <w:rPr>
          <w:rFonts w:hint="eastAsia" w:ascii="宋体" w:hAnsi="宋体"/>
          <w:sz w:val="24"/>
          <w:lang w:eastAsia="zh-CN"/>
        </w:rPr>
        <w:t>、</w:t>
      </w:r>
      <w:r>
        <w:rPr>
          <w:rFonts w:hint="eastAsia" w:ascii="宋体" w:hAnsi="宋体"/>
          <w:sz w:val="24"/>
        </w:rPr>
        <w:t>和平县区域公用品牌展会活动</w:t>
      </w:r>
      <w:r>
        <w:rPr>
          <w:rFonts w:hint="eastAsia" w:ascii="宋体" w:hAnsi="宋体"/>
          <w:sz w:val="24"/>
          <w:lang w:eastAsia="zh-CN"/>
        </w:rPr>
        <w:t>、</w:t>
      </w:r>
      <w:r>
        <w:rPr>
          <w:rFonts w:hint="eastAsia" w:ascii="宋体" w:hAnsi="宋体"/>
          <w:sz w:val="24"/>
        </w:rPr>
        <w:t>和平县优质农产品社区营销活动</w:t>
      </w:r>
      <w:r>
        <w:rPr>
          <w:rFonts w:hint="eastAsia" w:ascii="宋体" w:hAnsi="宋体"/>
          <w:sz w:val="24"/>
          <w:lang w:eastAsia="zh-CN"/>
        </w:rPr>
        <w:t>、</w:t>
      </w:r>
      <w:r>
        <w:rPr>
          <w:rFonts w:hint="eastAsia" w:ascii="宋体" w:hAnsi="宋体"/>
          <w:sz w:val="24"/>
        </w:rPr>
        <w:t>和平县区域公用品牌宣传片拍摄制作服务</w:t>
      </w:r>
      <w:r>
        <w:rPr>
          <w:rFonts w:hint="eastAsia" w:ascii="宋体" w:hAnsi="宋体"/>
          <w:sz w:val="24"/>
          <w:lang w:eastAsia="zh-CN"/>
        </w:rPr>
        <w:t>、</w:t>
      </w:r>
      <w:r>
        <w:rPr>
          <w:rFonts w:hint="eastAsia" w:ascii="宋体" w:hAnsi="宋体"/>
          <w:sz w:val="24"/>
        </w:rPr>
        <w:t>和平县农产品包装平面设计</w:t>
      </w:r>
      <w:r>
        <w:rPr>
          <w:rFonts w:hint="eastAsia" w:ascii="宋体" w:hAnsi="宋体"/>
          <w:sz w:val="24"/>
          <w:lang w:eastAsia="zh-CN"/>
        </w:rPr>
        <w:t>、</w:t>
      </w:r>
      <w:r>
        <w:rPr>
          <w:rFonts w:hint="eastAsia" w:ascii="宋体" w:hAnsi="宋体"/>
          <w:sz w:val="24"/>
        </w:rPr>
        <w:t>和平县农产品电商平台进驻服务</w:t>
      </w:r>
      <w:r>
        <w:rPr>
          <w:rFonts w:hint="eastAsia" w:ascii="宋体" w:hAnsi="宋体"/>
          <w:sz w:val="24"/>
          <w:lang w:val="en-US" w:eastAsia="zh-CN"/>
        </w:rPr>
        <w:t>等。</w:t>
      </w:r>
    </w:p>
    <w:p>
      <w:pPr>
        <w:pStyle w:val="42"/>
        <w:numPr>
          <w:ilvl w:val="0"/>
          <w:numId w:val="10"/>
        </w:numPr>
        <w:spacing w:line="360" w:lineRule="auto"/>
        <w:ind w:left="0" w:leftChars="0" w:firstLine="480" w:firstLineChars="200"/>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农产品上行体系（三级物流配送体系）：包含主干线物流配送车、乡村投递车、物流调度车等配套设备；管理人员</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调度人员</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营销人员</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客服人员</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货车司机</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乡村配送司机</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分拣人员</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维护人员</w:t>
      </w:r>
      <w:r>
        <w:rPr>
          <w:rFonts w:hint="eastAsia" w:ascii="宋体" w:hAnsi="宋体" w:cs="宋体"/>
          <w:color w:val="000000" w:themeColor="text1"/>
          <w:kern w:val="2"/>
          <w:sz w:val="24"/>
          <w:szCs w:val="24"/>
          <w:lang w:val="en-US" w:eastAsia="zh-CN" w:bidi="ar-SA"/>
          <w14:textFill>
            <w14:solidFill>
              <w14:schemeClr w14:val="tx1"/>
            </w14:solidFill>
          </w14:textFill>
        </w:rPr>
        <w:t>等服务人员。建设</w:t>
      </w:r>
      <w:r>
        <w:rPr>
          <w:rFonts w:hint="eastAsia" w:ascii="宋体" w:hAnsi="宋体" w:cs="宋体"/>
          <w:sz w:val="24"/>
        </w:rPr>
        <w:t>“村-镇-县”三级物流配送体系</w:t>
      </w:r>
      <w:r>
        <w:rPr>
          <w:rFonts w:hint="eastAsia" w:ascii="宋体" w:hAnsi="宋体" w:cs="宋体"/>
          <w:sz w:val="24"/>
          <w:lang w:eastAsia="zh-CN"/>
        </w:rPr>
        <w:t>。</w:t>
      </w:r>
    </w:p>
    <w:p>
      <w:pPr>
        <w:rPr>
          <w:rFonts w:hint="default"/>
          <w:lang w:val="en-US" w:eastAsia="zh-CN"/>
        </w:rPr>
      </w:pPr>
    </w:p>
    <w:p>
      <w:pPr>
        <w:pStyle w:val="42"/>
        <w:rPr>
          <w:rFonts w:hint="eastAsia"/>
          <w:lang w:val="en-US" w:eastAsia="zh-CN"/>
        </w:rPr>
      </w:pPr>
    </w:p>
    <w:p>
      <w:pPr>
        <w:pStyle w:val="3"/>
        <w:tabs>
          <w:tab w:val="clear" w:pos="3402"/>
          <w:tab w:val="clear" w:pos="3828"/>
        </w:tabs>
        <w:rPr>
          <w:rFonts w:ascii="Times New Roman" w:hAnsi="Times New Roman"/>
          <w:color w:val="000000" w:themeColor="text1"/>
          <w:szCs w:val="32"/>
          <w14:textFill>
            <w14:solidFill>
              <w14:schemeClr w14:val="tx1"/>
            </w14:solidFill>
          </w14:textFill>
        </w:rPr>
      </w:pPr>
      <w:bookmarkStart w:id="52" w:name="_Toc27935570"/>
      <w:bookmarkStart w:id="53" w:name="_Toc27679948"/>
      <w:bookmarkStart w:id="54" w:name="_Toc20173"/>
      <w:r>
        <w:rPr>
          <w:rFonts w:hint="eastAsia" w:ascii="Times New Roman" w:hAnsi="Times New Roman"/>
          <w:color w:val="000000" w:themeColor="text1"/>
          <w:szCs w:val="32"/>
          <w14:textFill>
            <w14:solidFill>
              <w14:schemeClr w14:val="tx1"/>
            </w14:solidFill>
          </w14:textFill>
        </w:rPr>
        <w:t>业务现状、项目必要性和需求分析</w:t>
      </w:r>
      <w:bookmarkEnd w:id="52"/>
      <w:bookmarkEnd w:id="53"/>
      <w:bookmarkEnd w:id="54"/>
    </w:p>
    <w:p>
      <w:pPr>
        <w:pStyle w:val="4"/>
        <w:rPr>
          <w:color w:val="000000" w:themeColor="text1"/>
          <w14:textFill>
            <w14:solidFill>
              <w14:schemeClr w14:val="tx1"/>
            </w14:solidFill>
          </w14:textFill>
        </w:rPr>
      </w:pPr>
      <w:bookmarkStart w:id="55" w:name="_Toc27679950"/>
      <w:bookmarkStart w:id="56" w:name="_Toc27935572"/>
      <w:bookmarkStart w:id="57" w:name="_Toc26949"/>
      <w:r>
        <w:rPr>
          <w:rFonts w:hint="eastAsia"/>
          <w:color w:val="000000" w:themeColor="text1"/>
          <w14:textFill>
            <w14:solidFill>
              <w14:schemeClr w14:val="tx1"/>
            </w14:solidFill>
          </w14:textFill>
        </w:rPr>
        <w:t>业务现状</w:t>
      </w:r>
      <w:bookmarkEnd w:id="55"/>
      <w:bookmarkEnd w:id="56"/>
      <w:r>
        <w:rPr>
          <w:rFonts w:hint="eastAsia"/>
          <w:color w:val="000000" w:themeColor="text1"/>
          <w14:textFill>
            <w14:solidFill>
              <w14:schemeClr w14:val="tx1"/>
            </w14:solidFill>
          </w14:textFill>
        </w:rPr>
        <w:t>分析</w:t>
      </w:r>
      <w:bookmarkEnd w:id="57"/>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根据《中共中央国务院关于全面推进乡村振兴加快农业农村现代化的意见》精神，经市政府批准，2019年河源市和平县建设了“和平县国家级电子商务进农村综合示范项目”，为河源市和平县打赢</w:t>
      </w:r>
      <w:r>
        <w:rPr>
          <w:rFonts w:hint="eastAsia" w:cs="宋体"/>
          <w:color w:val="000000" w:themeColor="text1"/>
          <w:sz w:val="24"/>
          <w:szCs w:val="24"/>
          <w:lang w:val="en-US" w:eastAsia="zh-CN"/>
          <w14:textFill>
            <w14:solidFill>
              <w14:schemeClr w14:val="tx1"/>
            </w14:solidFill>
          </w14:textFill>
        </w:rPr>
        <w:t>脱</w:t>
      </w:r>
      <w:r>
        <w:rPr>
          <w:rFonts w:hint="eastAsia" w:ascii="宋体" w:hAnsi="宋体" w:eastAsia="宋体" w:cs="宋体"/>
          <w:color w:val="000000" w:themeColor="text1"/>
          <w:sz w:val="24"/>
          <w:szCs w:val="24"/>
          <w:lang w:val="en-US" w:eastAsia="zh-CN"/>
          <w14:textFill>
            <w14:solidFill>
              <w14:schemeClr w14:val="tx1"/>
            </w14:solidFill>
          </w14:textFill>
        </w:rPr>
        <w:t>贫攻坚战发挥了积极作用，为消费扶贫转向乡村振兴战略方向奠定了良好基础。为进一步全面夯实乡村振兴，扩大线下实践成果作用，助力农村经济产业布局，充分调动社会资源参与扶贫事业。河源市和平县亟需在原有示范项目服务机制上，升级 “和平县乡村振兴农产品展销管理平台”服务，部署乡村振兴和平县农副产品上行加工认证中心，探索以“大数据”、“人工智能”等先进技术应用为依托的“智慧扶贫”模式，在短期解决扶贫产品大多数为三无产品，难以销售的基础上，致力化解乡村振兴产业发展缺方向、缺技术、缺产业链等问题，逐步完善产业及乡村振兴长效发展机制。</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同时，把防止返贫作为当前及今后一个时期乡村振兴工作的重要任务，坚决履行社会救助兜底保障政治责任，聚焦重点、压实责任、挂牌督战、见底清零，编密织牢基本民生兜底保障网，确保贫困人口应保尽保、应补尽补、应救尽救，“最后一公里、最初一公里”。发挥相关部门救助制度合力和引导社会组织、慈善、社会工作、志愿服务力量参与等方式，夯实“乡村振兴”成果，并促进巩固脱贫攻坚成果与实施乡村振兴战略的有效衔接。</w:t>
      </w:r>
    </w:p>
    <w:p>
      <w:pPr>
        <w:pStyle w:val="4"/>
        <w:rPr>
          <w:color w:val="000000" w:themeColor="text1"/>
          <w14:textFill>
            <w14:solidFill>
              <w14:schemeClr w14:val="tx1"/>
            </w14:solidFill>
          </w14:textFill>
        </w:rPr>
      </w:pPr>
      <w:bookmarkStart w:id="58" w:name="_Toc27679959"/>
      <w:bookmarkStart w:id="59" w:name="_Toc27935581"/>
      <w:bookmarkStart w:id="60" w:name="_Toc31315"/>
      <w:r>
        <w:rPr>
          <w:rFonts w:hint="eastAsia"/>
          <w:color w:val="000000" w:themeColor="text1"/>
          <w14:textFill>
            <w14:solidFill>
              <w14:schemeClr w14:val="tx1"/>
            </w14:solidFill>
          </w14:textFill>
        </w:rPr>
        <w:t>存在的问题及必要性分析</w:t>
      </w:r>
      <w:bookmarkEnd w:id="58"/>
      <w:bookmarkEnd w:id="59"/>
      <w:bookmarkEnd w:id="60"/>
    </w:p>
    <w:p>
      <w:pPr>
        <w:pStyle w:val="5"/>
        <w:rPr>
          <w:color w:val="000000" w:themeColor="text1"/>
          <w14:textFill>
            <w14:solidFill>
              <w14:schemeClr w14:val="tx1"/>
            </w14:solidFill>
          </w14:textFill>
        </w:rPr>
      </w:pPr>
      <w:bookmarkStart w:id="61" w:name="_Toc27935582"/>
      <w:bookmarkStart w:id="62" w:name="_Toc27679960"/>
      <w:bookmarkStart w:id="63" w:name="_Toc12151"/>
      <w:r>
        <w:rPr>
          <w:rFonts w:hint="eastAsia"/>
          <w:color w:val="000000" w:themeColor="text1"/>
          <w14:textFill>
            <w14:solidFill>
              <w14:schemeClr w14:val="tx1"/>
            </w14:solidFill>
          </w14:textFill>
        </w:rPr>
        <w:t>存在的问题</w:t>
      </w:r>
      <w:bookmarkEnd w:id="61"/>
      <w:bookmarkEnd w:id="62"/>
      <w:bookmarkEnd w:id="63"/>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经过一年多的电商示范的建设，在生产基地、服务平台、城市消费群之间还未形成有效产供销链条，没有提高扶贫产业效益，也没有建立相对成熟的长效脱贫管理机制。</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rPr>
        <w:t>目前电商示范项目以零散</w:t>
      </w:r>
      <w:r>
        <w:t>的</w:t>
      </w:r>
      <w:r>
        <w:rPr>
          <w:rFonts w:hint="eastAsia"/>
        </w:rPr>
        <w:t>第三方平台电商扶贫为主，既不能契合和平特色、也不能解决扶贫电商的针对性问题；扶贫队伍管理效率低、成效慢；河源（深河）扶贫品牌对扶贫产品的增值有限；电商扶贫对产业经济布局的决策预判始终停留在线下调研、经验总结上，缺乏科学、动态的决策参考依据；</w:t>
      </w:r>
      <w:r>
        <w:rPr>
          <w:rFonts w:hint="eastAsia" w:ascii="宋体" w:hAnsi="宋体" w:eastAsia="宋体" w:cs="宋体"/>
          <w:color w:val="000000" w:themeColor="text1"/>
          <w:sz w:val="24"/>
          <w:szCs w:val="24"/>
          <w:lang w:val="en-US" w:eastAsia="zh-CN"/>
          <w14:textFill>
            <w14:solidFill>
              <w14:schemeClr w14:val="tx1"/>
            </w14:solidFill>
          </w14:textFill>
        </w:rPr>
        <w:t>社会扶贫参与受限于行业、地域，对于有志于参与扶贫事业的社会组织、群体和个人，缺少参与的渠道。</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总体上看，目前项目存在的主要问题如下：</w:t>
      </w:r>
    </w:p>
    <w:p>
      <w:pPr>
        <w:pStyle w:val="16"/>
        <w:keepNext w:val="0"/>
        <w:keepLines w:val="0"/>
        <w:pageBreakBefore w:val="0"/>
        <w:numPr>
          <w:ilvl w:val="0"/>
          <w:numId w:val="11"/>
        </w:numPr>
        <w:kinsoku/>
        <w:wordWrap/>
        <w:overflowPunct/>
        <w:topLinePunct w:val="0"/>
        <w:autoSpaceDE/>
        <w:autoSpaceDN/>
        <w:bidi w:val="0"/>
        <w:adjustRightInd/>
        <w:snapToGrid/>
        <w:spacing w:after="0"/>
        <w:ind w:left="0" w:leftChars="0" w:firstLine="454" w:firstLineChars="0"/>
        <w:textAlignment w:val="auto"/>
        <w:rPr>
          <w:rFonts w:hint="eastAsia"/>
          <w:lang w:val="en-US" w:eastAsia="zh-CN"/>
        </w:rPr>
      </w:pPr>
      <w:r>
        <w:rPr>
          <w:rFonts w:hint="eastAsia"/>
          <w:lang w:val="en-US" w:eastAsia="zh-CN"/>
        </w:rPr>
        <w:t>电商服务中心</w:t>
      </w:r>
      <w:r>
        <w:rPr>
          <w:rFonts w:hint="eastAsia"/>
        </w:rPr>
        <w:t>枢纽性不强，</w:t>
      </w:r>
      <w:r>
        <w:rPr>
          <w:rFonts w:hint="eastAsia"/>
          <w:lang w:val="en-US" w:eastAsia="zh-CN"/>
        </w:rPr>
        <w:t>未能充分统筹整合县区域内电商资源。</w:t>
      </w:r>
    </w:p>
    <w:p>
      <w:pPr>
        <w:pStyle w:val="16"/>
        <w:keepNext w:val="0"/>
        <w:keepLines w:val="0"/>
        <w:pageBreakBefore w:val="0"/>
        <w:numPr>
          <w:ilvl w:val="0"/>
          <w:numId w:val="11"/>
        </w:numPr>
        <w:kinsoku/>
        <w:wordWrap/>
        <w:overflowPunct/>
        <w:topLinePunct w:val="0"/>
        <w:autoSpaceDE/>
        <w:autoSpaceDN/>
        <w:bidi w:val="0"/>
        <w:adjustRightInd/>
        <w:snapToGrid/>
        <w:spacing w:after="0"/>
        <w:ind w:left="0" w:leftChars="0" w:firstLine="454" w:firstLineChars="0"/>
        <w:textAlignment w:val="auto"/>
        <w:rPr>
          <w:rFonts w:hint="eastAsia"/>
          <w:lang w:val="en-US" w:eastAsia="zh-CN"/>
        </w:rPr>
      </w:pPr>
      <w:r>
        <w:rPr>
          <w:rFonts w:hint="eastAsia"/>
        </w:rPr>
        <w:t>部分村级电商服务站点经营</w:t>
      </w:r>
      <w:r>
        <w:rPr>
          <w:rFonts w:hint="eastAsia"/>
          <w:lang w:val="en-US" w:eastAsia="zh-CN"/>
        </w:rPr>
        <w:t>状况有待提高</w:t>
      </w:r>
      <w:r>
        <w:rPr>
          <w:rFonts w:hint="eastAsia"/>
        </w:rPr>
        <w:t>，</w:t>
      </w:r>
      <w:r>
        <w:rPr>
          <w:rFonts w:hint="eastAsia"/>
          <w:lang w:val="en-US" w:eastAsia="zh-CN"/>
        </w:rPr>
        <w:t>未能</w:t>
      </w:r>
      <w:r>
        <w:rPr>
          <w:rFonts w:hint="eastAsia"/>
        </w:rPr>
        <w:t>提供电商知识宣传，代买代卖，快递代收发等便民服务。</w:t>
      </w:r>
    </w:p>
    <w:p>
      <w:pPr>
        <w:pStyle w:val="16"/>
        <w:keepNext w:val="0"/>
        <w:keepLines w:val="0"/>
        <w:pageBreakBefore w:val="0"/>
        <w:numPr>
          <w:ilvl w:val="0"/>
          <w:numId w:val="11"/>
        </w:numPr>
        <w:kinsoku/>
        <w:wordWrap/>
        <w:overflowPunct/>
        <w:topLinePunct w:val="0"/>
        <w:autoSpaceDE/>
        <w:autoSpaceDN/>
        <w:bidi w:val="0"/>
        <w:adjustRightInd/>
        <w:snapToGrid/>
        <w:spacing w:after="0"/>
        <w:ind w:left="0" w:leftChars="0" w:firstLine="454" w:firstLineChars="0"/>
        <w:textAlignment w:val="auto"/>
        <w:rPr>
          <w:rFonts w:hint="eastAsia"/>
          <w:lang w:val="zh-CN"/>
        </w:rPr>
      </w:pPr>
      <w:r>
        <w:rPr>
          <w:rFonts w:hint="eastAsia"/>
          <w:lang w:val="en-US" w:eastAsia="zh-CN"/>
        </w:rPr>
        <w:t>百分之八十以上的农副产品为三无产品，无法通过电商平台销往全国，无法解决大部分贫困户需求。</w:t>
      </w:r>
    </w:p>
    <w:p>
      <w:pPr>
        <w:pStyle w:val="5"/>
        <w:rPr>
          <w:color w:val="000000" w:themeColor="text1"/>
          <w14:textFill>
            <w14:solidFill>
              <w14:schemeClr w14:val="tx1"/>
            </w14:solidFill>
          </w14:textFill>
        </w:rPr>
      </w:pPr>
      <w:bookmarkStart w:id="64" w:name="_Toc27935583"/>
      <w:bookmarkStart w:id="65" w:name="_Toc27679961"/>
      <w:bookmarkStart w:id="66" w:name="_Toc31255"/>
      <w:r>
        <w:rPr>
          <w:rFonts w:hint="eastAsia"/>
          <w:color w:val="000000" w:themeColor="text1"/>
          <w14:textFill>
            <w14:solidFill>
              <w14:schemeClr w14:val="tx1"/>
            </w14:solidFill>
          </w14:textFill>
        </w:rPr>
        <w:t>项目必要性分析</w:t>
      </w:r>
      <w:bookmarkEnd w:id="64"/>
      <w:bookmarkEnd w:id="65"/>
      <w:bookmarkEnd w:id="66"/>
    </w:p>
    <w:p>
      <w:pPr>
        <w:ind w:firstLine="480"/>
        <w:rPr>
          <w:lang w:val="zh-CN"/>
        </w:rPr>
      </w:pPr>
      <w:r>
        <w:rPr>
          <w:lang w:val="zh-CN"/>
        </w:rPr>
        <w:t>1、发展</w:t>
      </w:r>
      <w:r>
        <w:rPr>
          <w:rFonts w:hint="eastAsia"/>
          <w:lang w:val="en-US" w:eastAsia="zh-CN"/>
        </w:rPr>
        <w:t>和</w:t>
      </w:r>
      <w:r>
        <w:rPr>
          <w:rFonts w:hint="eastAsia"/>
          <w:lang w:val="zh-CN"/>
        </w:rPr>
        <w:t>平县</w:t>
      </w:r>
      <w:r>
        <w:rPr>
          <w:lang w:val="zh-CN"/>
        </w:rPr>
        <w:t>农村电子商务，可以解决农业信息畅通问题。大力发展</w:t>
      </w:r>
      <w:r>
        <w:rPr>
          <w:rFonts w:hint="eastAsia"/>
          <w:lang w:val="en-US" w:eastAsia="zh-CN"/>
        </w:rPr>
        <w:t>和</w:t>
      </w:r>
      <w:r>
        <w:rPr>
          <w:rFonts w:hint="eastAsia"/>
          <w:lang w:val="zh-CN"/>
        </w:rPr>
        <w:t>平县</w:t>
      </w:r>
      <w:r>
        <w:rPr>
          <w:lang w:val="zh-CN"/>
        </w:rPr>
        <w:t>农村电子商务，为工农业等物质能源产业的信息化改革服务，更好地促进它沿时代的方向发展，从而形成信息商务化、数字化。可以将农业生产的产前、产中、产后诸环节有机地结合到一起，解决农业生产与市场信息不对称的问题，可以帮助领导科学决策，指导生产者进行合理的安排生产，可以有效避免盲目发展带来的对农业农村的不良影响。目前，农业</w:t>
      </w:r>
      <w:r>
        <w:rPr>
          <w:rFonts w:hint="eastAsia"/>
          <w:lang w:val="zh-CN"/>
        </w:rPr>
        <w:t>经济增长对物质投入的依赖趋于减少，而越来越依靠信息劳动，依靠人的智力和知识的投入。</w:t>
      </w:r>
    </w:p>
    <w:p>
      <w:pPr>
        <w:ind w:firstLine="480"/>
        <w:rPr>
          <w:rFonts w:hint="eastAsia" w:ascii="宋体" w:hAnsi="宋体" w:eastAsia="宋体" w:cs="宋体"/>
          <w:lang w:val="zh-CN"/>
        </w:rPr>
      </w:pPr>
      <w:r>
        <w:rPr>
          <w:lang w:val="zh-CN"/>
        </w:rPr>
        <w:t>2、发展</w:t>
      </w:r>
      <w:r>
        <w:rPr>
          <w:rFonts w:hint="eastAsia"/>
          <w:lang w:val="en-US" w:eastAsia="zh-CN"/>
        </w:rPr>
        <w:t>和</w:t>
      </w:r>
      <w:r>
        <w:rPr>
          <w:rFonts w:hint="eastAsia"/>
          <w:lang w:val="zh-CN"/>
        </w:rPr>
        <w:t>平县</w:t>
      </w:r>
      <w:r>
        <w:rPr>
          <w:lang w:val="zh-CN"/>
        </w:rPr>
        <w:t>农村电子商务，可以解决制约农业发展的农产品流通问题。目前，</w:t>
      </w:r>
      <w:r>
        <w:rPr>
          <w:rFonts w:hint="eastAsia"/>
          <w:lang w:val="en-US" w:eastAsia="zh-CN"/>
        </w:rPr>
        <w:t>和</w:t>
      </w:r>
      <w:r>
        <w:rPr>
          <w:rFonts w:hint="eastAsia"/>
          <w:lang w:val="zh-CN"/>
        </w:rPr>
        <w:t>平县</w:t>
      </w:r>
      <w:r>
        <w:rPr>
          <w:lang w:val="zh-CN"/>
        </w:rPr>
        <w:t>农产品流通体系不仅在实现正常的产品流通上尚有问题，而且功能也不完善，更不能起到有效引导和组织生产的作用。农民虽然在多方面已经努力地去适应市场的需要，但在销售方面显然与市场经济的要求相去甚远，不能主动地选择最有利的市场去销售，而是被动地等待市场的选择。电子商务的发展无疑为解决农业发展中农产品的流通问题提供了广阔的空间，利用电子商务技术改造传统经济下的流通过程，形成由信息流、资金流、物流、商流组成的并以信息流</w:t>
      </w:r>
      <w:r>
        <w:rPr>
          <w:rFonts w:ascii="宋体" w:hAnsi="宋体" w:eastAsia="宋体" w:cs="宋体"/>
          <w:lang w:val="zh-CN"/>
        </w:rPr>
        <w:t>为核心全新的流通流程，推动</w:t>
      </w:r>
      <w:r>
        <w:rPr>
          <w:rFonts w:hint="eastAsia" w:ascii="宋体" w:hAnsi="宋体" w:eastAsia="宋体" w:cs="宋体"/>
          <w:lang w:val="en-US" w:eastAsia="zh-CN"/>
        </w:rPr>
        <w:t>和</w:t>
      </w:r>
      <w:r>
        <w:rPr>
          <w:rFonts w:hint="eastAsia" w:ascii="宋体" w:hAnsi="宋体" w:eastAsia="宋体" w:cs="宋体"/>
          <w:lang w:val="zh-CN"/>
        </w:rPr>
        <w:t>平县农村的新发展。</w:t>
      </w:r>
    </w:p>
    <w:p>
      <w:pPr>
        <w:ind w:left="0" w:leftChars="0" w:firstLine="480" w:firstLineChars="200"/>
        <w:rPr>
          <w:rFonts w:ascii="宋体" w:hAnsi="宋体" w:eastAsia="宋体" w:cs="宋体"/>
          <w:lang w:val="zh-CN"/>
        </w:rPr>
      </w:pPr>
      <w:r>
        <w:rPr>
          <w:rFonts w:hint="eastAsia" w:ascii="宋体" w:hAnsi="宋体" w:eastAsia="宋体" w:cs="宋体"/>
          <w:lang w:val="en-US" w:eastAsia="zh-CN"/>
        </w:rPr>
        <w:t>3、构建</w:t>
      </w:r>
      <w:r>
        <w:rPr>
          <w:rFonts w:ascii="宋体" w:hAnsi="宋体" w:eastAsia="宋体" w:cs="宋体"/>
          <w:lang w:val="zh-CN"/>
        </w:rPr>
        <w:t>农村公共服务体系可降低农业的自然风险和经济风险。如发达的基础设施可以提高农业抵抗自然灾害的能力，提高生产的稳定系数；市场信息系统会降低农产品的市场风险，增加生产和销售的稳定性，减轻市场作用引起的波动性。</w:t>
      </w:r>
    </w:p>
    <w:p>
      <w:pPr>
        <w:ind w:left="0" w:leftChars="0" w:firstLine="480" w:firstLineChars="200"/>
        <w:rPr>
          <w:rFonts w:ascii="宋体" w:hAnsi="宋体" w:eastAsia="宋体" w:cs="宋体"/>
          <w:lang w:val="zh-CN"/>
        </w:rPr>
      </w:pPr>
      <w:r>
        <w:rPr>
          <w:rFonts w:hint="eastAsia" w:ascii="宋体" w:hAnsi="宋体" w:eastAsia="宋体" w:cs="宋体"/>
          <w:lang w:val="en-US" w:eastAsia="zh-CN"/>
        </w:rPr>
        <w:t>4、</w:t>
      </w:r>
      <w:r>
        <w:rPr>
          <w:rFonts w:ascii="宋体" w:hAnsi="宋体" w:eastAsia="宋体" w:cs="宋体"/>
          <w:lang w:val="zh-CN"/>
        </w:rPr>
        <w:t>农村公共产品供给体系会促进农业生产的专业化、规模化、商品化、产业化、市场化和可持续化发展，促进社会分工的发展，进而有利于提高整个农村的劳动生产率。是传统农业向现代农业转变的必由之路，也是实现社会资金与人才向乡村流动的必要条件，是乡村建设招商引资的关键，是大力发展乡村旅游业的基本前提。</w:t>
      </w:r>
    </w:p>
    <w:p>
      <w:pPr>
        <w:ind w:left="0" w:leftChars="0" w:firstLine="480" w:firstLineChars="200"/>
        <w:rPr>
          <w:rFonts w:ascii="宋体" w:hAnsi="宋体" w:eastAsia="宋体" w:cs="宋体"/>
          <w:lang w:val="zh-CN"/>
        </w:rPr>
      </w:pPr>
      <w:r>
        <w:rPr>
          <w:rFonts w:hint="eastAsia" w:cs="宋体"/>
          <w:lang w:val="en-US" w:eastAsia="zh-CN"/>
        </w:rPr>
        <w:t>5</w:t>
      </w:r>
      <w:r>
        <w:rPr>
          <w:rFonts w:hint="eastAsia" w:ascii="宋体" w:hAnsi="宋体" w:eastAsia="宋体" w:cs="宋体"/>
          <w:lang w:val="en-US" w:eastAsia="zh-CN"/>
        </w:rPr>
        <w:t>、</w:t>
      </w:r>
      <w:r>
        <w:rPr>
          <w:rFonts w:ascii="宋体" w:hAnsi="宋体" w:eastAsia="宋体" w:cs="宋体"/>
          <w:lang w:val="zh-CN"/>
        </w:rPr>
        <w:t>完善的基本公共服务能够增强广大社会成员的经济安全感和消费预期，具有刺激消费、拉动消费需求的潜在功能。我们要实现农业产业化、农村现代化，农民职业化；让农业成为有奔头的产业、让农村成为安居乐业的美好家园，让农民成为有吸引力的职业，源头便是政府增加农村公共产品的有效供给，创新农村基本公共服务供给模式，公平分配公共资源。</w:t>
      </w:r>
    </w:p>
    <w:p>
      <w:pPr>
        <w:ind w:firstLine="480"/>
      </w:pPr>
      <w:r>
        <w:rPr>
          <w:rFonts w:hint="eastAsia" w:ascii="宋体" w:hAnsi="宋体" w:eastAsia="宋体" w:cs="宋体"/>
          <w:lang w:val="zh-CN"/>
        </w:rPr>
        <w:t>综上所述，</w:t>
      </w:r>
      <w:r>
        <w:rPr>
          <w:rFonts w:hint="eastAsia" w:ascii="宋体" w:hAnsi="宋体" w:eastAsia="宋体" w:cs="宋体"/>
          <w:lang w:val="en-US" w:eastAsia="zh-CN"/>
        </w:rPr>
        <w:t>和</w:t>
      </w:r>
      <w:r>
        <w:rPr>
          <w:rFonts w:hint="eastAsia" w:ascii="宋体" w:hAnsi="宋体" w:eastAsia="宋体" w:cs="宋体"/>
          <w:lang w:val="zh-CN"/>
        </w:rPr>
        <w:t>平县</w:t>
      </w:r>
      <w:r>
        <w:rPr>
          <w:rFonts w:hint="eastAsia" w:ascii="宋体" w:hAnsi="宋体" w:eastAsia="宋体" w:cs="宋体"/>
          <w:lang w:val="en-US" w:eastAsia="zh-CN"/>
        </w:rPr>
        <w:t>电子商务农产品上行体系及乡村振兴</w:t>
      </w:r>
      <w:r>
        <w:rPr>
          <w:rFonts w:hint="eastAsia" w:cs="宋体"/>
          <w:lang w:val="en-US" w:eastAsia="zh-CN"/>
        </w:rPr>
        <w:t>产品</w:t>
      </w:r>
      <w:r>
        <w:rPr>
          <w:rFonts w:hint="eastAsia" w:ascii="宋体" w:hAnsi="宋体" w:eastAsia="宋体" w:cs="宋体"/>
          <w:lang w:val="en-US" w:eastAsia="zh-CN"/>
        </w:rPr>
        <w:t>公共服务系统平台项目</w:t>
      </w:r>
      <w:r>
        <w:rPr>
          <w:rFonts w:hint="eastAsia" w:ascii="宋体" w:hAnsi="宋体" w:eastAsia="宋体" w:cs="宋体"/>
          <w:lang w:val="zh-CN"/>
        </w:rPr>
        <w:t>的建设是很有必要的。</w:t>
      </w:r>
    </w:p>
    <w:p>
      <w:pPr>
        <w:pStyle w:val="4"/>
        <w:rPr>
          <w:rFonts w:ascii="宋体" w:hAnsi="宋体" w:cs="宋体"/>
          <w:szCs w:val="32"/>
        </w:rPr>
      </w:pPr>
      <w:bookmarkStart w:id="67" w:name="_Toc13123"/>
      <w:bookmarkStart w:id="68" w:name="_Toc27935584"/>
      <w:bookmarkStart w:id="69" w:name="_Toc27679962"/>
      <w:r>
        <w:rPr>
          <w:rFonts w:hint="eastAsia"/>
          <w:color w:val="000000" w:themeColor="text1"/>
          <w14:textFill>
            <w14:solidFill>
              <w14:schemeClr w14:val="tx1"/>
            </w14:solidFill>
          </w14:textFill>
        </w:rPr>
        <w:t>需求分析</w:t>
      </w:r>
      <w:bookmarkEnd w:id="67"/>
      <w:bookmarkEnd w:id="68"/>
      <w:bookmarkEnd w:id="69"/>
    </w:p>
    <w:p>
      <w:pPr>
        <w:rPr>
          <w:rFonts w:hint="eastAsia"/>
          <w:lang w:val="en-US" w:eastAsia="zh-CN"/>
        </w:rPr>
      </w:pPr>
      <w:r>
        <w:rPr>
          <w:rFonts w:hint="eastAsia"/>
          <w:lang w:val="en-US" w:eastAsia="zh-CN"/>
        </w:rPr>
        <w:t>1、加快统筹全县乡村振兴智能化 “一张网”，提升县镇村一体化三级联动的信息化系统用户体验。</w:t>
      </w:r>
    </w:p>
    <w:p>
      <w:pPr>
        <w:rPr>
          <w:rFonts w:hint="eastAsia"/>
          <w:lang w:val="en-US" w:eastAsia="zh-CN"/>
        </w:rPr>
      </w:pPr>
      <w:r>
        <w:rPr>
          <w:rFonts w:hint="eastAsia"/>
          <w:lang w:val="en-US" w:eastAsia="zh-CN"/>
        </w:rPr>
        <w:t>和平县的消费帮扶仍以第三方平台电商帮扶为主，帮扶数据不通、数据不准、效率低下，不利于推动全县帮扶工作科学化、规范化、精细化，也不利于从整体上提升乡村振兴工作政策、资金、项目的效能。根据国家、省级关于乡村振兴信息化建设的相关部署要求，和平县亟待策划、落实乡村振兴智能化全县“一张网”的具体措施，解决县、镇、村各级工作单位的贫困户、项目、产业等工作信息的三级联动。</w:t>
      </w:r>
    </w:p>
    <w:p>
      <w:pPr>
        <w:pStyle w:val="13"/>
        <w:keepNext w:val="0"/>
        <w:keepLines w:val="0"/>
        <w:pageBreakBefore w:val="0"/>
        <w:widowControl w:val="0"/>
        <w:numPr>
          <w:ilvl w:val="0"/>
          <w:numId w:val="12"/>
        </w:numPr>
        <w:kinsoku/>
        <w:wordWrap/>
        <w:overflowPunct/>
        <w:topLinePunct w:val="0"/>
        <w:autoSpaceDE/>
        <w:autoSpaceDN/>
        <w:bidi w:val="0"/>
        <w:adjustRightInd/>
        <w:snapToGrid/>
        <w:textAlignment w:val="auto"/>
        <w:rPr>
          <w:rFonts w:hint="eastAsia" w:ascii="宋体" w:hAnsi="宋体" w:cs="宋体"/>
        </w:rPr>
      </w:pPr>
      <w:r>
        <w:rPr>
          <w:rFonts w:hint="eastAsia" w:ascii="宋体" w:hAnsi="宋体" w:cs="宋体"/>
        </w:rPr>
        <w:t>加快建设乡村振兴工作信息化平台，构建政府主导、社会参与、市场运作和贫困群体自力更生相结合的体系。</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当前和平电商示范品牌对产品的增值有限，和社会、市场对接不畅，亟待和平县电子商务农产品上行体系及乡村振兴</w:t>
      </w:r>
      <w:r>
        <w:rPr>
          <w:rFonts w:hint="eastAsia" w:cs="宋体"/>
          <w:lang w:val="en-US" w:eastAsia="zh-CN"/>
        </w:rPr>
        <w:t>产品</w:t>
      </w:r>
      <w:r>
        <w:rPr>
          <w:rFonts w:hint="eastAsia" w:ascii="宋体" w:hAnsi="宋体" w:eastAsia="宋体" w:cs="宋体"/>
          <w:lang w:val="en-US" w:eastAsia="zh-CN"/>
        </w:rPr>
        <w:t>公共服务系统平台项目的落地。不仅要创新推动农村产业经济“短期+长效”增长的大数据应用，还要有效推动贫困户与社会组织、市场主体之间的信息交互，在建立解决相对乡村振兴机制、赋予社会新内涵、形成社会区块链等“三大领域”先行先试新契合和平特色的乡村振兴工作信息化平台，实现系统同一平台、统一部署、数据共享、实时交互、紧密联动、互为促进，共同构建政府主导、社会参与、市场运作和贫困群体自力更生相结合的体系。</w:t>
      </w:r>
    </w:p>
    <w:p>
      <w:pPr>
        <w:pStyle w:val="13"/>
        <w:keepNext w:val="0"/>
        <w:keepLines w:val="0"/>
        <w:pageBreakBefore w:val="0"/>
        <w:widowControl w:val="0"/>
        <w:numPr>
          <w:ilvl w:val="0"/>
          <w:numId w:val="12"/>
        </w:numPr>
        <w:kinsoku/>
        <w:wordWrap/>
        <w:overflowPunct/>
        <w:topLinePunct w:val="0"/>
        <w:autoSpaceDE/>
        <w:autoSpaceDN/>
        <w:bidi w:val="0"/>
        <w:adjustRightInd/>
        <w:snapToGrid/>
        <w:textAlignment w:val="auto"/>
        <w:rPr>
          <w:rFonts w:hint="eastAsia" w:ascii="宋体" w:hAnsi="宋体" w:cs="宋体"/>
          <w:lang w:val="en-US" w:eastAsia="zh-CN"/>
        </w:rPr>
      </w:pPr>
      <w:r>
        <w:rPr>
          <w:rFonts w:hint="eastAsia" w:ascii="宋体" w:hAnsi="宋体" w:cs="宋体"/>
          <w:lang w:val="en-US" w:eastAsia="zh-CN"/>
        </w:rPr>
        <w:t>新建和平县农副产品上行加工认证中心。</w:t>
      </w:r>
      <w:r>
        <w:rPr>
          <w:rFonts w:hint="eastAsia" w:cs="宋体"/>
          <w:lang w:val="en-US" w:eastAsia="zh-CN"/>
        </w:rPr>
        <w:t>（同期项目实施）</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立足当地资源禀赋和市场需求，针对当地特色农副产品，开展分级、包装、预冷、初加工等，对农副产品的标准化、质量认证、品牌培育等综合性建设。彻底解决大部分农户三无产品无法外销问题。并且联系加工厂以加工或收购形象帮助贫困户处理农副产品。</w:t>
      </w:r>
    </w:p>
    <w:p>
      <w:pPr>
        <w:pStyle w:val="5"/>
        <w:rPr>
          <w:rFonts w:hint="eastAsia"/>
          <w:color w:val="000000" w:themeColor="text1"/>
          <w14:textFill>
            <w14:solidFill>
              <w14:schemeClr w14:val="tx1"/>
            </w14:solidFill>
          </w14:textFill>
        </w:rPr>
      </w:pPr>
      <w:bookmarkStart w:id="70" w:name="_Toc82824643"/>
      <w:bookmarkStart w:id="71" w:name="_Toc30474"/>
      <w:r>
        <w:rPr>
          <w:rFonts w:hint="eastAsia"/>
          <w:color w:val="000000" w:themeColor="text1"/>
          <w14:textFill>
            <w14:solidFill>
              <w14:schemeClr w14:val="tx1"/>
            </w14:solidFill>
          </w14:textFill>
        </w:rPr>
        <w:t>精准扶贫的需要</w:t>
      </w:r>
      <w:bookmarkEnd w:id="70"/>
      <w:bookmarkEnd w:id="71"/>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电商平台一头连着田间地头，一头连着消费群体，发展运用好这一新兴业态，可以拓展农产品销售渠道，把村里的农特产品外销出去，占领更广阔的市场，帮助贫困群众增收致富，亦有利于改变农村发展面貌。</w:t>
      </w:r>
    </w:p>
    <w:p>
      <w:pPr>
        <w:pStyle w:val="5"/>
        <w:rPr>
          <w:rFonts w:hint="eastAsia"/>
          <w:color w:val="000000" w:themeColor="text1"/>
          <w14:textFill>
            <w14:solidFill>
              <w14:schemeClr w14:val="tx1"/>
            </w14:solidFill>
          </w14:textFill>
        </w:rPr>
      </w:pPr>
      <w:bookmarkStart w:id="72" w:name="_Toc28289"/>
      <w:bookmarkStart w:id="73" w:name="_Toc82824644"/>
      <w:r>
        <w:rPr>
          <w:rFonts w:hint="eastAsia"/>
          <w:color w:val="000000" w:themeColor="text1"/>
          <w14:textFill>
            <w14:solidFill>
              <w14:schemeClr w14:val="tx1"/>
            </w14:solidFill>
          </w14:textFill>
        </w:rPr>
        <w:t>解决就业的需要</w:t>
      </w:r>
      <w:bookmarkEnd w:id="72"/>
      <w:bookmarkEnd w:id="73"/>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增加平台产业链生产、包装、印刷、仓储、物流配送等领域就业人数，为城乡贫困群众开辟就业增收新渠道。有利于保障改善民生。</w:t>
      </w:r>
    </w:p>
    <w:p>
      <w:pPr>
        <w:pStyle w:val="5"/>
        <w:rPr>
          <w:rFonts w:hint="eastAsia"/>
          <w:color w:val="000000" w:themeColor="text1"/>
          <w14:textFill>
            <w14:solidFill>
              <w14:schemeClr w14:val="tx1"/>
            </w14:solidFill>
          </w14:textFill>
        </w:rPr>
      </w:pPr>
      <w:bookmarkStart w:id="74" w:name="_Toc82824645"/>
      <w:bookmarkStart w:id="75" w:name="_Toc19882"/>
      <w:r>
        <w:rPr>
          <w:rFonts w:hint="eastAsia"/>
          <w:color w:val="000000" w:themeColor="text1"/>
          <w14:textFill>
            <w14:solidFill>
              <w14:schemeClr w14:val="tx1"/>
            </w14:solidFill>
          </w14:textFill>
        </w:rPr>
        <w:t>产业发展的需要</w:t>
      </w:r>
      <w:bookmarkEnd w:id="74"/>
      <w:bookmarkEnd w:id="75"/>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突破传统商贸模式的局限性，打开特色农产品“进城”通道，打开销路，加快产业发展。有利于经济结构调整。</w:t>
      </w:r>
    </w:p>
    <w:p>
      <w:pPr>
        <w:pStyle w:val="5"/>
        <w:rPr>
          <w:rFonts w:hint="eastAsia"/>
          <w:color w:val="000000" w:themeColor="text1"/>
          <w14:textFill>
            <w14:solidFill>
              <w14:schemeClr w14:val="tx1"/>
            </w14:solidFill>
          </w14:textFill>
        </w:rPr>
      </w:pPr>
      <w:bookmarkStart w:id="76" w:name="_Toc30128"/>
      <w:bookmarkStart w:id="77" w:name="_Toc82824646"/>
      <w:r>
        <w:rPr>
          <w:rFonts w:hint="eastAsia"/>
          <w:color w:val="000000" w:themeColor="text1"/>
          <w14:textFill>
            <w14:solidFill>
              <w14:schemeClr w14:val="tx1"/>
            </w14:solidFill>
          </w14:textFill>
        </w:rPr>
        <w:t>创业创新的需要</w:t>
      </w:r>
      <w:bookmarkEnd w:id="76"/>
      <w:bookmarkEnd w:id="77"/>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为那些有意愿、有能力的高校毕业生、农民工、退役军人、贫困群众提供了新的创业平台，通过创业增加收入，让更多的人富起来，有利于增强创业创新能力。</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和平县乡村振兴农产品展销管理平台，就是运用电子商务来促进贫困地区的贫困家庭脱贫致富奔小康，带动当地产业发展。传统的农村交易主要采用面对面的方式，市场形态级别低，交易场地分散，规模小，交易效率低。而通过互联网的供需对接，改变了以往传统交易模式的诸多弊端，实现了消息互通，方便快捷，让贫困户的产品能够适销对路，更好更快地脱贫致富。</w:t>
      </w:r>
    </w:p>
    <w:p>
      <w:pPr>
        <w:pStyle w:val="16"/>
        <w:rPr>
          <w:rFonts w:hint="default"/>
          <w:lang w:val="en-US" w:eastAsia="zh-CN"/>
        </w:rPr>
      </w:pPr>
    </w:p>
    <w:p>
      <w:pPr>
        <w:pStyle w:val="13"/>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cs="宋体"/>
          <w:lang w:val="en-US" w:eastAsia="zh-CN"/>
        </w:rPr>
      </w:pPr>
    </w:p>
    <w:p>
      <w:pPr>
        <w:pStyle w:val="3"/>
        <w:tabs>
          <w:tab w:val="clear" w:pos="3402"/>
          <w:tab w:val="clear" w:pos="3828"/>
        </w:tabs>
        <w:rPr>
          <w:rFonts w:ascii="Times New Roman" w:hAnsi="Times New Roman"/>
          <w:color w:val="000000" w:themeColor="text1"/>
          <w:szCs w:val="32"/>
          <w14:textFill>
            <w14:solidFill>
              <w14:schemeClr w14:val="tx1"/>
            </w14:solidFill>
          </w14:textFill>
        </w:rPr>
      </w:pPr>
      <w:bookmarkStart w:id="78" w:name="_Toc27935607"/>
      <w:bookmarkStart w:id="79" w:name="_Toc27679985"/>
      <w:bookmarkStart w:id="80" w:name="_Toc10892"/>
      <w:r>
        <w:rPr>
          <w:rFonts w:hint="eastAsia" w:ascii="Times New Roman" w:hAnsi="Times New Roman"/>
          <w:color w:val="000000" w:themeColor="text1"/>
          <w:szCs w:val="32"/>
          <w14:textFill>
            <w14:solidFill>
              <w14:schemeClr w14:val="tx1"/>
            </w14:solidFill>
          </w14:textFill>
        </w:rPr>
        <w:t>项目方案</w:t>
      </w:r>
      <w:bookmarkEnd w:id="78"/>
      <w:bookmarkEnd w:id="79"/>
      <w:bookmarkEnd w:id="80"/>
    </w:p>
    <w:p>
      <w:pPr>
        <w:pStyle w:val="4"/>
        <w:rPr>
          <w:color w:val="000000" w:themeColor="text1"/>
          <w14:textFill>
            <w14:solidFill>
              <w14:schemeClr w14:val="tx1"/>
            </w14:solidFill>
          </w14:textFill>
        </w:rPr>
      </w:pPr>
      <w:bookmarkStart w:id="81" w:name="_Toc19678"/>
      <w:bookmarkStart w:id="82" w:name="_Toc27679986"/>
      <w:bookmarkStart w:id="83" w:name="_Toc27935608"/>
      <w:r>
        <w:rPr>
          <w:rFonts w:hint="eastAsia"/>
          <w:color w:val="000000" w:themeColor="text1"/>
          <w14:textFill>
            <w14:solidFill>
              <w14:schemeClr w14:val="tx1"/>
            </w14:solidFill>
          </w14:textFill>
        </w:rPr>
        <w:t>项目整体框架</w:t>
      </w:r>
      <w:bookmarkEnd w:id="81"/>
      <w:bookmarkEnd w:id="82"/>
      <w:bookmarkEnd w:id="83"/>
    </w:p>
    <w:p>
      <w:pPr>
        <w:pStyle w:val="5"/>
        <w:tabs>
          <w:tab w:val="left" w:pos="1080"/>
          <w:tab w:val="clear" w:pos="720"/>
        </w:tabs>
        <w:bidi w:val="0"/>
        <w:rPr>
          <w:rFonts w:hint="eastAsia"/>
          <w:lang w:val="en-US" w:eastAsia="zh-CN"/>
        </w:rPr>
      </w:pPr>
      <w:bookmarkStart w:id="84" w:name="_Toc84969033"/>
      <w:bookmarkStart w:id="85" w:name="_Toc3110"/>
      <w:r>
        <w:rPr>
          <w:rFonts w:hint="eastAsia"/>
          <w:lang w:val="en-US" w:eastAsia="zh-CN"/>
        </w:rPr>
        <w:t>建设原则</w:t>
      </w:r>
      <w:bookmarkEnd w:id="84"/>
      <w:bookmarkEnd w:id="85"/>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（1)集成性</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平台配套服务提供体系化、可视化的开发工具链，包括集成开发环境（IDE）、企业级的基础设施运行平台、企业应用和服务的监控运维工具、以及相应配套的产品模块。基于统一的业务架构、运行和协作环境，在统一的组织机构管理、权限控制、安全策略下，实现高效和紧密的业务协同，强化和规范企业的业务管理。</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（2)可扩展性</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可扩展的业务运行环境。基于业务架构平台，构建基于公司业务的集成信息系统，使跨系统、跨平台的应用系统能够真正集成在一起，实现高效的协同工作和流程控制。在平台的业务模型中内置强大的业务表达式能力，可以用于工作流中的业务规则定制。</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（3)业务驱动</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以业务和管理为导向，基于业务模型来构建管理软件，保证管理软件在体系上的完整性和合理性，全面、正确和快速实现管理和业务的要求。平台提供的资源库具有：统一的资源对象引用规范；统一的资源对象存储和访问；所有业务模型资源的版本管理；所有业务对象的安全访问控制；允许开发者或团队构造特权，如资源保护，维护授权等。</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（4)技术无关</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业务模型资源与系统实现技术的分离，从根本上提升管理系统的技术无关性。要求可以支持各种主流的分布体系、操作系统、移动终端操作系统、数据库平台、基础架构平台、应用服务平台、Web服务平台、通讯协议和客户端模式等，并可平滑地迁移到未来的实现技术上。</w:t>
      </w:r>
    </w:p>
    <w:p>
      <w:pPr>
        <w:pStyle w:val="5"/>
        <w:tabs>
          <w:tab w:val="left" w:pos="1080"/>
          <w:tab w:val="clear" w:pos="720"/>
        </w:tabs>
        <w:bidi w:val="0"/>
        <w:rPr>
          <w:rFonts w:hint="eastAsia"/>
          <w:lang w:val="en-US" w:eastAsia="zh-CN"/>
        </w:rPr>
      </w:pPr>
      <w:bookmarkStart w:id="86" w:name="_Toc24768"/>
      <w:r>
        <w:rPr>
          <w:rFonts w:hint="eastAsia"/>
          <w:lang w:val="en-US" w:eastAsia="zh-CN"/>
        </w:rPr>
        <w:t>整体概述</w:t>
      </w:r>
      <w:bookmarkEnd w:id="86"/>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采用主流和开放的技术标准，采用B/S架构，具有高可扩展性和兼容性。</w:t>
      </w:r>
    </w:p>
    <w:p>
      <w:pPr>
        <w:ind w:left="0" w:leftChars="0" w:firstLine="482" w:firstLineChars="200"/>
        <w:rPr>
          <w:rFonts w:hint="eastAsia" w:ascii="宋体" w:hAnsi="宋体" w:eastAsia="宋体" w:cs="宋体"/>
          <w:b/>
          <w:bCs/>
          <w:lang w:val="en-US" w:eastAsia="zh-CN"/>
        </w:rPr>
      </w:pPr>
      <w:r>
        <w:rPr>
          <w:rFonts w:hint="eastAsia" w:ascii="宋体" w:hAnsi="宋体" w:eastAsia="宋体" w:cs="宋体"/>
          <w:b/>
          <w:bCs/>
          <w:lang w:val="en-US" w:eastAsia="zh-CN"/>
        </w:rPr>
        <w:t>后端技术：</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1）后端采用J2EE技术体系，基于微服务架构，提供开放的服务接口，可集成第三方应用系统和服务；</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2）支持主流的关系型数据库Oracle、MSSQL、Sybase、DB2、MySQL等</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3）支持集群部署和基于集群的扩展，支持云平台开发、部署和应用。</w:t>
      </w:r>
    </w:p>
    <w:p>
      <w:pPr>
        <w:ind w:left="0" w:leftChars="0" w:firstLine="482" w:firstLineChars="200"/>
        <w:rPr>
          <w:rFonts w:hint="eastAsia" w:ascii="宋体" w:hAnsi="宋体" w:eastAsia="宋体" w:cs="宋体"/>
          <w:b/>
          <w:bCs/>
          <w:lang w:val="en-US" w:eastAsia="zh-CN"/>
        </w:rPr>
      </w:pPr>
      <w:r>
        <w:rPr>
          <w:rFonts w:hint="eastAsia" w:ascii="宋体" w:hAnsi="宋体" w:eastAsia="宋体" w:cs="宋体"/>
          <w:b/>
          <w:bCs/>
          <w:lang w:val="en-US" w:eastAsia="zh-CN"/>
        </w:rPr>
        <w:t>前端技术：</w:t>
      </w:r>
    </w:p>
    <w:p>
      <w:pPr>
        <w:ind w:left="0" w:leftChars="0" w:firstLine="480" w:firstLineChars="200"/>
        <w:rPr>
          <w:rFonts w:hint="eastAsia" w:ascii="宋体" w:hAnsi="宋体" w:eastAsia="宋体" w:cs="宋体"/>
          <w:lang w:val="en-US" w:eastAsia="zh-CN"/>
        </w:rPr>
      </w:pPr>
      <w:bookmarkStart w:id="87" w:name="_Toc27269"/>
      <w:bookmarkStart w:id="88" w:name="_Toc22725"/>
      <w:bookmarkStart w:id="89" w:name="_Toc10803"/>
      <w:bookmarkStart w:id="90" w:name="_Toc15757"/>
      <w:bookmarkStart w:id="91" w:name="_Toc26485"/>
      <w:bookmarkStart w:id="92" w:name="_Toc16657"/>
      <w:bookmarkStart w:id="93" w:name="_Toc25413"/>
      <w:bookmarkStart w:id="94" w:name="_Toc15742"/>
      <w:bookmarkStart w:id="95" w:name="_Toc15443"/>
      <w:bookmarkStart w:id="96" w:name="_Toc533"/>
      <w:bookmarkStart w:id="97" w:name="_Toc10877"/>
      <w:bookmarkStart w:id="98" w:name="_Toc60254967"/>
      <w:r>
        <w:rPr>
          <w:rFonts w:hint="eastAsia" w:ascii="宋体" w:hAnsi="宋体" w:eastAsia="宋体" w:cs="宋体"/>
          <w:lang w:val="en-US" w:eastAsia="zh-CN"/>
        </w:rPr>
        <w:t>1）前端Web技术标准采用HTML5+CSS3+JS，可集成第三方组件，支持Chrome、360、Firefox和Safari等主流浏览器</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2）采用MVVM设计模式实现前端页面的数据和视图分离，从而简化前端的页面结构和设计复杂度。开发者只需要了解基本的HTML、JS开发，能过短暂的学习，就可以定制出各种复杂的业务界面。</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3）平台应支持丰富的界面组件和表现形式，以适应复杂的业务场景，需要多种不同的展现组件，如布局组件、编辑组件、图片组件、</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4）附件组件、对话框组件、选择组件、表格、图表、树形视图等。</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5）平台支持多种布局方式，包括流式布局、绝对布局、Excel布局、行列布局、上中下布局、多页布局、折叠布局等，并支持布局的混合应用。</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6）支持数据规则表达式（如只读、必填、约束、计算字段处理等）。</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7）支持bootstrap资源引入，具有开放的组件框架体系，可自定义页面模板。</w:t>
      </w:r>
    </w:p>
    <w:bookmarkEnd w:id="87"/>
    <w:bookmarkEnd w:id="88"/>
    <w:bookmarkEnd w:id="89"/>
    <w:bookmarkEnd w:id="90"/>
    <w:bookmarkEnd w:id="91"/>
    <w:bookmarkEnd w:id="92"/>
    <w:bookmarkEnd w:id="93"/>
    <w:bookmarkEnd w:id="94"/>
    <w:bookmarkEnd w:id="95"/>
    <w:bookmarkEnd w:id="96"/>
    <w:bookmarkEnd w:id="97"/>
    <w:bookmarkEnd w:id="98"/>
    <w:p>
      <w:pPr>
        <w:pStyle w:val="5"/>
        <w:tabs>
          <w:tab w:val="left" w:pos="1080"/>
          <w:tab w:val="clear" w:pos="720"/>
        </w:tabs>
        <w:bidi w:val="0"/>
        <w:rPr>
          <w:rFonts w:hint="eastAsia" w:cs="宋体"/>
          <w:color w:val="000000" w:themeColor="text1"/>
          <w:lang w:val="en-US" w:eastAsia="zh-CN"/>
          <w14:textFill>
            <w14:solidFill>
              <w14:schemeClr w14:val="tx1"/>
            </w14:solidFill>
          </w14:textFill>
        </w:rPr>
      </w:pPr>
      <w:bookmarkStart w:id="99" w:name="_Toc23566"/>
      <w:r>
        <w:rPr>
          <w:rFonts w:hint="eastAsia" w:cs="宋体"/>
          <w:color w:val="000000" w:themeColor="text1"/>
          <w:lang w:val="en-US" w:eastAsia="zh-CN"/>
          <w14:textFill>
            <w14:solidFill>
              <w14:schemeClr w14:val="tx1"/>
            </w14:solidFill>
          </w14:textFill>
        </w:rPr>
        <w:t>技术</w:t>
      </w:r>
      <w:r>
        <w:rPr>
          <w:rFonts w:hint="eastAsia"/>
          <w:lang w:val="en-US" w:eastAsia="zh-CN"/>
        </w:rPr>
        <w:t>路线</w:t>
      </w:r>
      <w:bookmarkEnd w:id="99"/>
    </w:p>
    <w:p>
      <w:pPr>
        <w:ind w:left="0" w:leftChars="0" w:firstLine="482" w:firstLineChars="200"/>
        <w:rPr>
          <w:rFonts w:hint="eastAsia" w:ascii="宋体" w:hAnsi="宋体" w:eastAsia="宋体" w:cs="宋体"/>
          <w:b/>
          <w:bCs/>
          <w:lang w:val="en-US" w:eastAsia="zh-CN"/>
        </w:rPr>
      </w:pPr>
      <w:r>
        <w:rPr>
          <w:rFonts w:hint="eastAsia" w:ascii="宋体" w:hAnsi="宋体" w:eastAsia="宋体" w:cs="宋体"/>
          <w:b/>
          <w:bCs/>
          <w:lang w:val="en-US" w:eastAsia="zh-CN"/>
        </w:rPr>
        <w:t>（1）国际主流技术</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整个平台拟采用基于J2ee国际主流技术开发，以降级开发及后续维护成本。杜绝使用不成熟的、不知名的或者流行度不高的技术体系。</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1）严格遵循JavaEE标准开发规范；</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2）采用SpringBoot、Spring MVC、SpringCloud等技术；</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3）采用主流数据库、如Mysql，Oracle；</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 xml:space="preserve">4）采用前后端分离技术； </w:t>
      </w:r>
    </w:p>
    <w:p>
      <w:pPr>
        <w:ind w:left="0" w:leftChars="0" w:firstLine="482" w:firstLineChars="200"/>
        <w:rPr>
          <w:rFonts w:hint="eastAsia" w:ascii="宋体" w:hAnsi="宋体" w:eastAsia="宋体" w:cs="宋体"/>
          <w:b/>
          <w:bCs/>
          <w:lang w:val="en-US" w:eastAsia="zh-CN"/>
        </w:rPr>
      </w:pPr>
      <w:r>
        <w:rPr>
          <w:rFonts w:hint="eastAsia" w:ascii="宋体" w:hAnsi="宋体" w:eastAsia="宋体" w:cs="宋体"/>
          <w:b/>
          <w:bCs/>
          <w:lang w:val="en-US" w:eastAsia="zh-CN"/>
        </w:rPr>
        <w:t>（2）高可靠、高可用、高并发</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高可靠、高可用、高并发是互联网分布式系统架构设计中必须考虑的因素之一。</w:t>
      </w:r>
      <w:r>
        <w:rPr>
          <w:rFonts w:hint="eastAsia" w:ascii="宋体" w:hAnsi="宋体" w:eastAsia="宋体" w:cs="宋体"/>
          <w:lang w:val="en-US" w:eastAsia="zh-CN"/>
        </w:rPr>
        <w:tab/>
      </w:r>
      <w:r>
        <w:rPr>
          <w:rFonts w:hint="eastAsia" w:ascii="宋体" w:hAnsi="宋体" w:eastAsia="宋体" w:cs="宋体"/>
          <w:lang w:val="en-US" w:eastAsia="zh-CN"/>
        </w:rPr>
        <w:t>高可靠指的是运行时间能够满足预计时间的一个系统或组件。可以用“100%可操作性”或者“从未失败”这两种标准来表示。</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高可用通常来描述一个系统经过专门的设计，从而减少停工时间，而保持其服务的高度可用性。</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高并发是指，通过设计保证系统能够同时并行处理很多请求。</w:t>
      </w:r>
    </w:p>
    <w:p>
      <w:pPr>
        <w:ind w:left="0" w:leftChars="0" w:firstLine="482" w:firstLineChars="200"/>
        <w:rPr>
          <w:rFonts w:hint="eastAsia" w:ascii="宋体" w:hAnsi="宋体" w:eastAsia="宋体" w:cs="宋体"/>
          <w:b/>
          <w:bCs/>
          <w:lang w:val="en-US" w:eastAsia="zh-CN"/>
        </w:rPr>
      </w:pPr>
      <w:r>
        <w:rPr>
          <w:rFonts w:hint="eastAsia" w:ascii="宋体" w:hAnsi="宋体" w:eastAsia="宋体" w:cs="宋体"/>
          <w:b/>
          <w:bCs/>
          <w:lang w:val="en-US" w:eastAsia="zh-CN"/>
        </w:rPr>
        <w:t>（3）安全性</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本平台需要确保整个系统的安全性，要能够有效的防御XSS、CSRF、SQL注入等攻击，还要能够对数据进行加密传效，防止数据在传输过程中监听、截取、进而破解，并且需要具有对暴力破解防护。</w:t>
      </w:r>
    </w:p>
    <w:p>
      <w:pPr>
        <w:ind w:left="0" w:leftChars="0" w:firstLine="482" w:firstLineChars="200"/>
        <w:rPr>
          <w:rFonts w:hint="eastAsia" w:ascii="宋体" w:hAnsi="宋体" w:eastAsia="宋体" w:cs="宋体"/>
          <w:b/>
          <w:bCs/>
          <w:lang w:val="en-US" w:eastAsia="zh-CN"/>
        </w:rPr>
      </w:pPr>
      <w:r>
        <w:rPr>
          <w:rFonts w:hint="eastAsia" w:ascii="宋体" w:hAnsi="宋体" w:eastAsia="宋体" w:cs="宋体"/>
          <w:b/>
          <w:bCs/>
          <w:lang w:val="en-US" w:eastAsia="zh-CN"/>
        </w:rPr>
        <w:t>（4）权限管理</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基于RBAC权限管理，完全支持各类复杂的权限管理，包括管理权限、业务权限、操作权限、数据权限、分级授权等多种权限模式。</w:t>
      </w:r>
    </w:p>
    <w:p>
      <w:pPr>
        <w:ind w:left="0" w:leftChars="0" w:firstLine="482" w:firstLineChars="200"/>
        <w:rPr>
          <w:rFonts w:hint="eastAsia" w:ascii="宋体" w:hAnsi="宋体" w:eastAsia="宋体" w:cs="宋体"/>
          <w:b/>
          <w:bCs/>
          <w:lang w:val="en-US" w:eastAsia="zh-CN"/>
        </w:rPr>
      </w:pPr>
      <w:bookmarkStart w:id="100" w:name="_Toc9415"/>
      <w:r>
        <w:rPr>
          <w:rFonts w:hint="eastAsia" w:ascii="宋体" w:hAnsi="宋体" w:eastAsia="宋体" w:cs="宋体"/>
          <w:b/>
          <w:bCs/>
          <w:lang w:val="en-US" w:eastAsia="zh-CN"/>
        </w:rPr>
        <w:t>（5）报表和统计图表</w:t>
      </w:r>
      <w:bookmarkEnd w:id="100"/>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支持复杂中式报表和各种统计图表，满足以下要求：</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1）支持多源数据库及所见即所得、类Excel可视化报表设计；</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2）支持集成第三方图表生成工具；</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3）支持浏览器精确打印；</w:t>
      </w:r>
    </w:p>
    <w:p>
      <w:pPr>
        <w:ind w:left="0" w:leftChars="0" w:firstLine="480" w:firstLineChars="200"/>
        <w:rPr>
          <w:rFonts w:hint="eastAsia" w:ascii="宋体" w:hAnsi="宋体"/>
          <w:color w:val="000000" w:themeColor="text1"/>
          <w:szCs w:val="24"/>
          <w:lang w:val="en-US" w:eastAsia="zh-CN"/>
          <w14:textFill>
            <w14:solidFill>
              <w14:schemeClr w14:val="tx1"/>
            </w14:solidFill>
          </w14:textFill>
        </w:rPr>
      </w:pPr>
      <w:r>
        <w:rPr>
          <w:rFonts w:hint="eastAsia" w:ascii="宋体" w:hAnsi="宋体" w:eastAsia="宋体" w:cs="宋体"/>
          <w:lang w:val="en-US" w:eastAsia="zh-CN"/>
        </w:rPr>
        <w:t>4）支持Word、Excel、PDF等格式文档导出。</w:t>
      </w:r>
    </w:p>
    <w:p>
      <w:pPr>
        <w:pStyle w:val="5"/>
        <w:tabs>
          <w:tab w:val="left" w:pos="1080"/>
          <w:tab w:val="clear" w:pos="720"/>
        </w:tabs>
        <w:bidi w:val="0"/>
        <w:rPr>
          <w:rFonts w:hint="eastAsia" w:cs="宋体"/>
          <w:color w:val="000000" w:themeColor="text1"/>
          <w:lang w:val="en-US" w:eastAsia="zh-CN"/>
          <w14:textFill>
            <w14:solidFill>
              <w14:schemeClr w14:val="tx1"/>
            </w14:solidFill>
          </w14:textFill>
        </w:rPr>
      </w:pPr>
      <w:bookmarkStart w:id="101" w:name="_Toc9205"/>
      <w:bookmarkStart w:id="102" w:name="_Toc11648"/>
      <w:r>
        <w:rPr>
          <w:rFonts w:hint="eastAsia" w:cs="宋体"/>
          <w:color w:val="000000" w:themeColor="text1"/>
          <w:lang w:val="en-US" w:eastAsia="zh-CN"/>
          <w14:textFill>
            <w14:solidFill>
              <w14:schemeClr w14:val="tx1"/>
            </w14:solidFill>
          </w14:textFill>
        </w:rPr>
        <w:t>总体结构</w:t>
      </w:r>
      <w:bookmarkEnd w:id="101"/>
      <w:bookmarkEnd w:id="102"/>
      <w:bookmarkStart w:id="103" w:name="_Toc17883"/>
      <w:bookmarkStart w:id="104" w:name="_Toc94498187"/>
      <w:bookmarkStart w:id="105" w:name="_Toc94498276"/>
      <w:bookmarkStart w:id="106" w:name="_Toc94499581"/>
    </w:p>
    <w:p>
      <w:pPr>
        <w:ind w:left="0" w:leftChars="0" w:firstLine="482" w:firstLineChars="200"/>
        <w:rPr>
          <w:rFonts w:hint="eastAsia" w:ascii="宋体" w:hAnsi="宋体" w:eastAsia="宋体" w:cs="宋体"/>
          <w:b/>
          <w:bCs/>
          <w:lang w:val="en-US" w:eastAsia="zh-CN"/>
        </w:rPr>
      </w:pPr>
      <w:r>
        <w:rPr>
          <w:rFonts w:hint="eastAsia" w:ascii="宋体" w:hAnsi="宋体" w:eastAsia="宋体" w:cs="宋体"/>
          <w:b/>
          <w:bCs/>
          <w:lang w:val="en-US" w:eastAsia="zh-CN"/>
        </w:rPr>
        <w:t>（1）运营服务系统要求及设计原则</w:t>
      </w:r>
      <w:bookmarkEnd w:id="103"/>
      <w:bookmarkEnd w:id="104"/>
      <w:bookmarkEnd w:id="105"/>
      <w:bookmarkEnd w:id="106"/>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服务器端正常运行状态下对CPU的平均占有率不超过30%，最少能并发相应100个请求连接，一般业务操作的响应时间在3秒内。</w:t>
      </w:r>
    </w:p>
    <w:p>
      <w:pPr>
        <w:ind w:left="0" w:leftChars="0" w:firstLine="482" w:firstLineChars="200"/>
        <w:rPr>
          <w:rFonts w:hint="eastAsia" w:ascii="宋体" w:hAnsi="宋体" w:eastAsia="宋体" w:cs="宋体"/>
          <w:b/>
          <w:bCs/>
          <w:lang w:val="en-US" w:eastAsia="zh-CN"/>
        </w:rPr>
      </w:pPr>
      <w:bookmarkStart w:id="107" w:name="_Toc1482"/>
      <w:r>
        <w:rPr>
          <w:rFonts w:hint="eastAsia" w:ascii="宋体" w:hAnsi="宋体" w:eastAsia="宋体" w:cs="宋体"/>
          <w:b/>
          <w:bCs/>
          <w:lang w:val="en-US" w:eastAsia="zh-CN"/>
        </w:rPr>
        <w:t>（2） 设计原则</w:t>
      </w:r>
      <w:bookmarkEnd w:id="107"/>
    </w:p>
    <w:p>
      <w:pPr>
        <w:ind w:firstLine="480" w:firstLineChars="200"/>
        <w:rPr>
          <w:rFonts w:hint="eastAsia" w:ascii="宋体" w:hAnsi="宋体" w:eastAsia="宋体" w:cs="宋体"/>
        </w:rPr>
      </w:pPr>
      <w:r>
        <w:rPr>
          <w:rFonts w:hint="eastAsia" w:ascii="宋体" w:hAnsi="宋体" w:eastAsia="宋体" w:cs="宋体"/>
        </w:rPr>
        <w:t>（1）安全稳定性。安全体系建设是系统建设的最重要环节，是系统正常运行的前提和保障，应从网络、应用、数据等多方面多层次建立安全保障机制，强化系统抗攻击和应急恢复能力，确保系统的安全稳定。</w:t>
      </w:r>
    </w:p>
    <w:p>
      <w:pPr>
        <w:ind w:firstLine="480" w:firstLineChars="200"/>
        <w:rPr>
          <w:rFonts w:hint="eastAsia" w:ascii="宋体" w:hAnsi="宋体" w:eastAsia="宋体" w:cs="宋体"/>
        </w:rPr>
      </w:pPr>
      <w:r>
        <w:rPr>
          <w:rFonts w:hint="eastAsia" w:ascii="宋体" w:hAnsi="宋体" w:eastAsia="宋体" w:cs="宋体"/>
        </w:rPr>
        <w:t>（2）实用性。系统设计应合理有效，能够切实解决实际需求。</w:t>
      </w:r>
    </w:p>
    <w:p>
      <w:pPr>
        <w:ind w:firstLine="480" w:firstLineChars="200"/>
        <w:rPr>
          <w:rFonts w:hint="eastAsia" w:ascii="宋体" w:hAnsi="宋体" w:eastAsia="宋体" w:cs="宋体"/>
        </w:rPr>
      </w:pPr>
      <w:r>
        <w:rPr>
          <w:rFonts w:hint="eastAsia" w:ascii="宋体" w:hAnsi="宋体" w:eastAsia="宋体" w:cs="宋体"/>
        </w:rPr>
        <w:t>（3）统一性。适应发展要求，做好总体规划，进行全面规划和全面设计</w:t>
      </w:r>
      <w:r>
        <w:rPr>
          <w:rFonts w:hint="eastAsia" w:ascii="宋体" w:hAnsi="宋体" w:eastAsia="宋体" w:cs="宋体"/>
          <w:lang w:eastAsia="zh-CN"/>
        </w:rPr>
        <w:t>，</w:t>
      </w:r>
      <w:r>
        <w:rPr>
          <w:rFonts w:hint="eastAsia" w:ascii="宋体" w:hAnsi="宋体" w:eastAsia="宋体" w:cs="宋体"/>
        </w:rPr>
        <w:t>形成统一、规范，确保数据资源最大化地利用，发挥系统整体效能。</w:t>
      </w:r>
    </w:p>
    <w:p>
      <w:pPr>
        <w:ind w:firstLine="480" w:firstLineChars="200"/>
        <w:rPr>
          <w:rFonts w:hint="eastAsia" w:ascii="宋体" w:hAnsi="宋体" w:eastAsia="宋体" w:cs="宋体"/>
        </w:rPr>
      </w:pPr>
      <w:r>
        <w:rPr>
          <w:rFonts w:hint="eastAsia" w:ascii="宋体" w:hAnsi="宋体" w:eastAsia="宋体" w:cs="宋体"/>
        </w:rPr>
        <w:t>（4）开放性。系统设计的各种接口在遵循规范性原则的基础上，保证其可以集成不同设备厂商、系统或平台供应商、软件供应商的产品；保证系统的设备管理、系统扩容和业务维护不依赖于单一设备厂商、系统或软件供应商的产品。</w:t>
      </w:r>
    </w:p>
    <w:p>
      <w:pPr>
        <w:ind w:firstLine="480" w:firstLineChars="200"/>
        <w:rPr>
          <w:rFonts w:hint="eastAsia" w:ascii="宋体" w:hAnsi="宋体" w:eastAsia="宋体" w:cs="宋体"/>
        </w:rPr>
      </w:pPr>
      <w:r>
        <w:rPr>
          <w:rFonts w:hint="eastAsia" w:ascii="宋体" w:hAnsi="宋体" w:eastAsia="宋体" w:cs="宋体"/>
        </w:rPr>
        <w:t>（5）先进性与成熟性集合。系统设计采用先进成熟的技术和手段，以保障平台具有高效、全面和稳定等良好品质。系统采用先进成熟的总体构架，数据采集、整合、应用服务等采用基于XML的标准，以XML为基础生成要传递的信息，采用目前主流J2EE、ESB中间件等技术。</w:t>
      </w:r>
    </w:p>
    <w:p>
      <w:pPr>
        <w:ind w:left="0" w:leftChars="0" w:firstLine="480" w:firstLineChars="200"/>
        <w:rPr>
          <w:rFonts w:hint="eastAsia" w:ascii="宋体" w:hAnsi="宋体" w:eastAsia="宋体" w:cs="宋体"/>
          <w:lang w:val="en-US" w:eastAsia="zh-CN"/>
        </w:rPr>
      </w:pPr>
      <w:bookmarkStart w:id="108" w:name="_Toc484127996"/>
      <w:bookmarkStart w:id="109" w:name="_Toc480465892"/>
      <w:r>
        <w:rPr>
          <w:rFonts w:hint="eastAsia" w:ascii="宋体" w:hAnsi="宋体" w:eastAsia="宋体" w:cs="宋体"/>
        </w:rPr>
        <w:t>（6）可维护性</w:t>
      </w:r>
      <w:bookmarkEnd w:id="108"/>
      <w:bookmarkEnd w:id="109"/>
      <w:r>
        <w:rPr>
          <w:rFonts w:hint="eastAsia" w:ascii="宋体" w:hAnsi="宋体" w:eastAsia="宋体" w:cs="宋体"/>
        </w:rPr>
        <w:t>。软件的可维护性是软件开发阶段的关键目标。影响软件可维护性的因素较多，设计、编码及测试中的疏忽和低劣的软件配置，缺少文档等都对软件的可维护性产生不良影响。采用面向服务架构（SOA）、模块化、组件化和松耦合系统设计。软件能够被简单方便地修改和升级，包含可读性、可修改性、可测试性等。基于标准的HTTP协议通讯，减少对防火墙以及服务递送机制的维护工作。基于工作流和规则库。系统应采用参数化设计，可以根据实际情况对功能进行灵活调整而无需修改程序。</w:t>
      </w:r>
    </w:p>
    <w:p>
      <w:pPr>
        <w:ind w:left="0" w:leftChars="0" w:firstLine="482" w:firstLineChars="200"/>
        <w:rPr>
          <w:rFonts w:hint="eastAsia" w:ascii="宋体" w:hAnsi="宋体" w:eastAsia="宋体" w:cs="宋体"/>
          <w:b/>
          <w:bCs/>
          <w:lang w:val="en-US" w:eastAsia="zh-CN"/>
        </w:rPr>
      </w:pPr>
      <w:bookmarkStart w:id="110" w:name="_Toc22586"/>
      <w:r>
        <w:rPr>
          <w:rFonts w:hint="eastAsia" w:ascii="宋体" w:hAnsi="宋体" w:eastAsia="宋体" w:cs="宋体"/>
          <w:b/>
          <w:bCs/>
          <w:lang w:val="en-US" w:eastAsia="zh-CN"/>
        </w:rPr>
        <w:t>（3）实现目标</w:t>
      </w:r>
      <w:bookmarkEnd w:id="110"/>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1）搭建电商展销工作管理系统，规范平台架构，统一各子系统开发规范；</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2）规范和平县乡村振兴局信息处理流程，实现乡村振兴农副产品展销人士基础信息本地化、自有化、信息化整合、资源处理信息化、信息传输网络化、智能化。</w:t>
      </w:r>
    </w:p>
    <w:p>
      <w:pPr>
        <w:pStyle w:val="5"/>
        <w:tabs>
          <w:tab w:val="left" w:pos="1080"/>
          <w:tab w:val="clear" w:pos="720"/>
        </w:tabs>
        <w:bidi w:val="0"/>
        <w:rPr>
          <w:rFonts w:hint="eastAsia" w:cs="宋体"/>
          <w:color w:val="000000" w:themeColor="text1"/>
          <w:lang w:val="en-US" w:eastAsia="zh-CN"/>
          <w14:textFill>
            <w14:solidFill>
              <w14:schemeClr w14:val="tx1"/>
            </w14:solidFill>
          </w14:textFill>
        </w:rPr>
      </w:pPr>
      <w:bookmarkStart w:id="111" w:name="_Toc8967"/>
      <w:bookmarkStart w:id="112" w:name="_Toc13499"/>
      <w:r>
        <w:rPr>
          <w:rFonts w:hint="eastAsia"/>
          <w:lang w:val="en-US" w:eastAsia="zh-CN"/>
        </w:rPr>
        <w:t>软件</w:t>
      </w:r>
      <w:r>
        <w:rPr>
          <w:rFonts w:hint="eastAsia" w:cs="宋体"/>
          <w:color w:val="000000" w:themeColor="text1"/>
          <w:lang w:val="en-US" w:eastAsia="zh-CN"/>
          <w14:textFill>
            <w14:solidFill>
              <w14:schemeClr w14:val="tx1"/>
            </w14:solidFill>
          </w14:textFill>
        </w:rPr>
        <w:t>结构</w:t>
      </w:r>
      <w:bookmarkEnd w:id="111"/>
    </w:p>
    <w:p>
      <w:pPr>
        <w:ind w:left="0" w:leftChars="0" w:firstLine="480" w:firstLineChars="200"/>
        <w:rPr>
          <w:rFonts w:ascii="宋体" w:cs="宋体"/>
        </w:rPr>
      </w:pPr>
      <w:r>
        <w:rPr>
          <w:rFonts w:hint="eastAsia" w:ascii="宋体" w:hAnsi="宋体" w:eastAsia="宋体" w:cs="宋体"/>
          <w:lang w:val="en-US" w:eastAsia="zh-CN"/>
        </w:rPr>
        <w:t>本项目的技术架构和开发工具，软件结构图如下：</w:t>
      </w:r>
    </w:p>
    <w:p>
      <w:pPr>
        <w:ind w:left="0" w:leftChars="0" w:firstLine="0" w:firstLineChars="0"/>
        <w:jc w:val="center"/>
        <w:rPr>
          <w:rFonts w:ascii="楷体" w:cs="Times New Roman"/>
        </w:rPr>
      </w:pPr>
      <w:r>
        <w:rPr>
          <w:rFonts w:ascii="楷体" w:cs="Times New Roman"/>
        </w:rPr>
        <w:drawing>
          <wp:inline distT="0" distB="0" distL="114300" distR="114300">
            <wp:extent cx="5356225" cy="6008370"/>
            <wp:effectExtent l="0" t="0" r="15875" b="11430"/>
            <wp:docPr id="1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
                    <pic:cNvPicPr>
                      <a:picLocks noChangeAspect="1"/>
                    </pic:cNvPicPr>
                  </pic:nvPicPr>
                  <pic:blipFill>
                    <a:blip r:embed="rId16"/>
                    <a:srcRect l="1406"/>
                    <a:stretch>
                      <a:fillRect/>
                    </a:stretch>
                  </pic:blipFill>
                  <pic:spPr>
                    <a:xfrm>
                      <a:off x="0" y="0"/>
                      <a:ext cx="5356225" cy="6008370"/>
                    </a:xfrm>
                    <a:prstGeom prst="rect">
                      <a:avLst/>
                    </a:prstGeom>
                    <a:noFill/>
                    <a:ln>
                      <a:noFill/>
                    </a:ln>
                  </pic:spPr>
                </pic:pic>
              </a:graphicData>
            </a:graphic>
          </wp:inline>
        </w:drawing>
      </w:r>
    </w:p>
    <w:p>
      <w:pPr>
        <w:pStyle w:val="16"/>
        <w:jc w:val="center"/>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图4.1.5-1 软件结构图</w:t>
      </w:r>
    </w:p>
    <w:p>
      <w:pPr>
        <w:ind w:left="0" w:leftChars="0" w:firstLine="482" w:firstLineChars="200"/>
        <w:rPr>
          <w:rFonts w:hint="eastAsia" w:ascii="宋体" w:hAnsi="宋体" w:eastAsia="宋体" w:cs="宋体"/>
          <w:b/>
          <w:bCs/>
          <w:lang w:val="en-US" w:eastAsia="zh-CN"/>
        </w:rPr>
      </w:pPr>
      <w:r>
        <w:rPr>
          <w:rFonts w:hint="eastAsia" w:ascii="宋体" w:hAnsi="宋体" w:eastAsia="宋体" w:cs="宋体"/>
          <w:b/>
          <w:bCs/>
          <w:lang w:val="en-US" w:eastAsia="zh-CN"/>
        </w:rPr>
        <w:t>（1）运营服务系统软件</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操作系统：CentOS、AliyunOS或其它Linux发行版</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数据库：MySQL、RDS、Oracle或其他</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以上系统可根据技术讨论会议后确定。</w:t>
      </w:r>
    </w:p>
    <w:p>
      <w:pPr>
        <w:ind w:left="0" w:leftChars="0" w:firstLine="482" w:firstLineChars="200"/>
        <w:rPr>
          <w:rFonts w:hint="eastAsia" w:ascii="宋体" w:hAnsi="宋体" w:eastAsia="宋体" w:cs="宋体"/>
          <w:b/>
          <w:bCs/>
          <w:lang w:val="en-US" w:eastAsia="zh-CN"/>
        </w:rPr>
      </w:pPr>
      <w:bookmarkStart w:id="113" w:name="_Toc29490"/>
      <w:r>
        <w:rPr>
          <w:rFonts w:hint="eastAsia" w:ascii="宋体" w:hAnsi="宋体" w:eastAsia="宋体" w:cs="宋体"/>
          <w:b/>
          <w:bCs/>
          <w:lang w:val="en-US" w:eastAsia="zh-CN"/>
        </w:rPr>
        <w:t>（2）运营服务系统开发软件</w:t>
      </w:r>
      <w:bookmarkEnd w:id="113"/>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开发工具包：IDEA、J2EE、Visual Code、SpringBoot、SpringCloud</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开发软件架构：B/S</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B/S架构：SpringCloud+前后端分离</w:t>
      </w:r>
    </w:p>
    <w:p>
      <w:pPr>
        <w:ind w:left="0" w:leftChars="0" w:firstLine="480" w:firstLineChars="200"/>
        <w:rPr>
          <w:rFonts w:hint="eastAsia" w:ascii="宋体" w:hAnsi="宋体"/>
          <w:color w:val="000000" w:themeColor="text1"/>
          <w:szCs w:val="24"/>
          <w:lang w:val="en-US"/>
          <w14:textFill>
            <w14:solidFill>
              <w14:schemeClr w14:val="tx1"/>
            </w14:solidFill>
          </w14:textFill>
        </w:rPr>
      </w:pPr>
      <w:r>
        <w:rPr>
          <w:rFonts w:hint="eastAsia" w:ascii="宋体" w:hAnsi="宋体" w:eastAsia="宋体" w:cs="宋体"/>
          <w:lang w:val="en-US" w:eastAsia="zh-CN"/>
        </w:rPr>
        <w:t>其它：JS、HTML、CSS</w:t>
      </w:r>
    </w:p>
    <w:bookmarkEnd w:id="112"/>
    <w:p>
      <w:pPr>
        <w:pStyle w:val="5"/>
        <w:tabs>
          <w:tab w:val="left" w:pos="1080"/>
          <w:tab w:val="clear" w:pos="720"/>
        </w:tabs>
        <w:bidi w:val="0"/>
        <w:rPr>
          <w:rFonts w:hint="eastAsia" w:cs="宋体"/>
          <w:color w:val="000000" w:themeColor="text1"/>
          <w:lang w:val="en-US" w:eastAsia="zh-CN"/>
          <w14:textFill>
            <w14:solidFill>
              <w14:schemeClr w14:val="tx1"/>
            </w14:solidFill>
          </w14:textFill>
        </w:rPr>
      </w:pPr>
      <w:bookmarkStart w:id="114" w:name="_Toc10511"/>
      <w:bookmarkStart w:id="115" w:name="_Toc18932"/>
      <w:r>
        <w:rPr>
          <w:rFonts w:hint="eastAsia"/>
          <w:lang w:val="en-US" w:eastAsia="zh-CN"/>
        </w:rPr>
        <w:t>业务</w:t>
      </w:r>
      <w:r>
        <w:rPr>
          <w:rFonts w:hint="eastAsia" w:cs="宋体"/>
          <w:color w:val="000000" w:themeColor="text1"/>
          <w:lang w:val="en-US" w:eastAsia="zh-CN"/>
          <w14:textFill>
            <w14:solidFill>
              <w14:schemeClr w14:val="tx1"/>
            </w14:solidFill>
          </w14:textFill>
        </w:rPr>
        <w:t>参数设计</w:t>
      </w:r>
      <w:bookmarkEnd w:id="114"/>
      <w:bookmarkEnd w:id="115"/>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业务参数设置规则从如下几方面进行系统性考虑。</w:t>
      </w:r>
    </w:p>
    <w:p>
      <w:pPr>
        <w:ind w:left="0" w:leftChars="0" w:firstLine="482" w:firstLineChars="200"/>
        <w:rPr>
          <w:rFonts w:hint="eastAsia" w:ascii="宋体" w:hAnsi="宋体" w:eastAsia="宋体" w:cs="宋体"/>
          <w:b/>
          <w:bCs/>
          <w:lang w:val="en-US" w:eastAsia="zh-CN"/>
        </w:rPr>
      </w:pPr>
      <w:bookmarkStart w:id="116" w:name="_Toc26272"/>
      <w:r>
        <w:rPr>
          <w:rFonts w:hint="eastAsia" w:ascii="宋体" w:hAnsi="宋体" w:eastAsia="宋体" w:cs="宋体"/>
          <w:b/>
          <w:bCs/>
          <w:lang w:val="en-US" w:eastAsia="zh-CN"/>
        </w:rPr>
        <w:t>（1）共用性</w:t>
      </w:r>
      <w:bookmarkEnd w:id="116"/>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在系统中设置为业务参数的业务数据，首先应该考虑该数据项目在系统中较多应用模块中都使用，这样的业务数据独立出来以后设置为参数，可以充分发挥共效率。</w:t>
      </w:r>
    </w:p>
    <w:p>
      <w:pPr>
        <w:ind w:left="0" w:leftChars="0" w:firstLine="482" w:firstLineChars="200"/>
        <w:rPr>
          <w:rFonts w:hint="eastAsia" w:ascii="宋体" w:hAnsi="宋体" w:eastAsia="宋体" w:cs="宋体"/>
          <w:b/>
          <w:bCs/>
          <w:lang w:val="en-US" w:eastAsia="zh-CN"/>
        </w:rPr>
      </w:pPr>
      <w:bookmarkStart w:id="117" w:name="_Toc6069"/>
      <w:r>
        <w:rPr>
          <w:rFonts w:hint="eastAsia" w:ascii="宋体" w:hAnsi="宋体" w:eastAsia="宋体" w:cs="宋体"/>
          <w:b/>
          <w:bCs/>
          <w:lang w:val="en-US" w:eastAsia="zh-CN"/>
        </w:rPr>
        <w:t>（2）可变性</w:t>
      </w:r>
      <w:bookmarkEnd w:id="117"/>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在系统中设置为参数的业务数据是经常根据乡村振兴农副产品展销业务发展、内部管理需要及政策变化而变化的。如人员调动，管理员岗位权限调整等，可以根据设置不同，对于这些业务数据适合设置为业务参数，作为计算机应用系统中的参数表加入参数模块中，通过参数统一集中管理系统控制调整。</w:t>
      </w:r>
    </w:p>
    <w:p>
      <w:pPr>
        <w:pStyle w:val="4"/>
        <w:rPr>
          <w:rFonts w:hint="eastAsia" w:cs="宋体"/>
          <w:color w:val="000000" w:themeColor="text1"/>
          <w:lang w:val="en-US" w:eastAsia="zh-CN"/>
          <w14:textFill>
            <w14:solidFill>
              <w14:schemeClr w14:val="tx1"/>
            </w14:solidFill>
          </w14:textFill>
        </w:rPr>
      </w:pPr>
      <w:bookmarkStart w:id="118" w:name="_Toc13965"/>
      <w:r>
        <w:rPr>
          <w:rFonts w:hint="eastAsia"/>
          <w:color w:val="000000" w:themeColor="text1"/>
          <w:lang w:val="en-US" w:eastAsia="zh-CN"/>
          <w14:textFill>
            <w14:solidFill>
              <w14:schemeClr w14:val="tx1"/>
            </w14:solidFill>
          </w14:textFill>
        </w:rPr>
        <w:t>系统</w:t>
      </w:r>
      <w:bookmarkStart w:id="119" w:name="_Toc27680004"/>
      <w:bookmarkStart w:id="120" w:name="_Toc26047361"/>
      <w:bookmarkStart w:id="121" w:name="_Toc27935626"/>
      <w:r>
        <w:rPr>
          <w:rFonts w:hint="eastAsia"/>
          <w:color w:val="000000" w:themeColor="text1"/>
          <w:lang w:val="en-US" w:eastAsia="zh-CN"/>
          <w14:textFill>
            <w14:solidFill>
              <w14:schemeClr w14:val="tx1"/>
            </w14:solidFill>
          </w14:textFill>
        </w:rPr>
        <w:t>框架</w:t>
      </w:r>
      <w:bookmarkEnd w:id="118"/>
    </w:p>
    <w:p>
      <w:pPr>
        <w:pStyle w:val="5"/>
        <w:tabs>
          <w:tab w:val="left" w:pos="1080"/>
          <w:tab w:val="clear" w:pos="720"/>
        </w:tabs>
        <w:bidi w:val="0"/>
        <w:rPr>
          <w:rFonts w:hint="eastAsia"/>
          <w:lang w:val="en-US" w:eastAsia="zh-CN"/>
        </w:rPr>
      </w:pPr>
      <w:bookmarkStart w:id="122" w:name="_Toc29953"/>
      <w:r>
        <w:rPr>
          <w:rFonts w:hint="eastAsia"/>
          <w:lang w:val="en-US" w:eastAsia="zh-CN"/>
        </w:rPr>
        <w:t>网络架构</w:t>
      </w:r>
      <w:bookmarkEnd w:id="122"/>
    </w:p>
    <w:p>
      <w:pPr>
        <w:ind w:left="0" w:leftChars="0" w:firstLine="0" w:firstLineChars="0"/>
        <w:jc w:val="center"/>
      </w:pPr>
      <w:r>
        <w:drawing>
          <wp:inline distT="0" distB="0" distL="114300" distR="114300">
            <wp:extent cx="5274945" cy="3438525"/>
            <wp:effectExtent l="0" t="0" r="190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5274945" cy="3438525"/>
                    </a:xfrm>
                    <a:prstGeom prst="rect">
                      <a:avLst/>
                    </a:prstGeom>
                    <a:noFill/>
                    <a:ln>
                      <a:noFill/>
                    </a:ln>
                  </pic:spPr>
                </pic:pic>
              </a:graphicData>
            </a:graphic>
          </wp:inline>
        </w:drawing>
      </w:r>
    </w:p>
    <w:p>
      <w:pPr>
        <w:pStyle w:val="18"/>
        <w:jc w:val="center"/>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图4.2.1-1 网络架构图</w:t>
      </w:r>
    </w:p>
    <w:p>
      <w:pPr>
        <w:pStyle w:val="13"/>
        <w:rPr>
          <w:rFonts w:hint="eastAsia" w:eastAsia="宋体"/>
          <w:lang w:val="en-US" w:eastAsia="zh-CN"/>
        </w:rPr>
      </w:pPr>
      <w:r>
        <w:rPr>
          <w:rFonts w:hint="eastAsia" w:ascii="宋体" w:hAnsi="宋体" w:cs="宋体"/>
          <w:color w:val="000000"/>
          <w:szCs w:val="32"/>
        </w:rPr>
        <w:t>本项目</w:t>
      </w:r>
      <w:r>
        <w:rPr>
          <w:rFonts w:hint="eastAsia" w:ascii="宋体" w:hAnsi="宋体" w:cs="宋体"/>
          <w:color w:val="000000"/>
          <w:szCs w:val="32"/>
          <w:lang w:val="en-US" w:eastAsia="zh-CN"/>
        </w:rPr>
        <w:t>系统</w:t>
      </w:r>
      <w:r>
        <w:rPr>
          <w:rFonts w:hint="eastAsia" w:ascii="宋体" w:hAnsi="宋体" w:cs="宋体"/>
          <w:color w:val="000000"/>
          <w:szCs w:val="32"/>
        </w:rPr>
        <w:t>部署在广东省“数字政府”政务云河源节点，</w:t>
      </w:r>
      <w:r>
        <w:rPr>
          <w:rFonts w:hint="eastAsia" w:ascii="宋体" w:hAnsi="宋体" w:cs="宋体"/>
          <w:color w:val="000000"/>
          <w:szCs w:val="32"/>
          <w:lang w:val="en-US" w:eastAsia="zh-CN"/>
        </w:rPr>
        <w:t>电商平台用户、运营单位均</w:t>
      </w:r>
      <w:r>
        <w:rPr>
          <w:rFonts w:hint="eastAsia" w:ascii="宋体" w:hAnsi="宋体" w:cs="宋体"/>
          <w:color w:val="000000"/>
          <w:szCs w:val="32"/>
        </w:rPr>
        <w:t>通过互联网</w:t>
      </w:r>
      <w:r>
        <w:rPr>
          <w:rFonts w:hint="eastAsia" w:ascii="宋体" w:hAnsi="宋体" w:cs="宋体"/>
          <w:color w:val="000000"/>
          <w:szCs w:val="32"/>
          <w:lang w:val="en-US" w:eastAsia="zh-CN"/>
        </w:rPr>
        <w:t>访问系统。</w:t>
      </w:r>
    </w:p>
    <w:p>
      <w:pPr>
        <w:pStyle w:val="5"/>
        <w:tabs>
          <w:tab w:val="left" w:pos="1080"/>
          <w:tab w:val="clear" w:pos="720"/>
        </w:tabs>
        <w:bidi w:val="0"/>
        <w:rPr>
          <w:rFonts w:hint="default"/>
          <w:lang w:val="en-US" w:eastAsia="zh-CN"/>
        </w:rPr>
      </w:pPr>
      <w:bookmarkStart w:id="123" w:name="_Toc29642"/>
      <w:r>
        <w:rPr>
          <w:rFonts w:hint="eastAsia"/>
          <w:lang w:val="en-US" w:eastAsia="zh-CN"/>
        </w:rPr>
        <w:t>系统架构</w:t>
      </w:r>
      <w:bookmarkEnd w:id="123"/>
    </w:p>
    <w:p>
      <w:pPr>
        <w:ind w:left="0" w:leftChars="0" w:firstLine="480" w:firstLineChars="200"/>
        <w:rPr>
          <w:rFonts w:hint="eastAsia" w:ascii="宋体" w:hAnsi="宋体" w:eastAsia="宋体" w:cs="宋体"/>
          <w:lang w:val="en-US" w:eastAsia="zh-CN"/>
        </w:rPr>
      </w:pPr>
      <w:bookmarkStart w:id="124" w:name="_Toc24753"/>
      <w:r>
        <w:rPr>
          <w:rFonts w:hint="eastAsia" w:ascii="宋体" w:hAnsi="宋体" w:eastAsia="宋体" w:cs="宋体"/>
          <w:lang w:val="en-US" w:eastAsia="zh-CN"/>
        </w:rPr>
        <w:t>本平台建立在Spring Cloud 基础上，采用微服务架构是服务化是系统达到一定规模以后的必然选择，主流的互联网公司基本都在逐步迁移到服务化架构。</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Spring Cloud 基于 Spring Boot 框架，是由一系列组件组成的，这些组件包括注册中心、服务调用、负载均衡、限流降级等等。其实现如下：</w:t>
      </w:r>
    </w:p>
    <w:p>
      <w:pPr>
        <w:pStyle w:val="17"/>
        <w:ind w:firstLine="0" w:firstLineChars="0"/>
        <w:jc w:val="center"/>
        <w:rPr>
          <w:rFonts w:ascii="宋体" w:cs="宋体"/>
        </w:rPr>
      </w:pPr>
      <w:r>
        <w:rPr>
          <w:rFonts w:ascii="宋体" w:cs="宋体"/>
        </w:rPr>
        <w:drawing>
          <wp:inline distT="0" distB="0" distL="114300" distR="114300">
            <wp:extent cx="4828540" cy="4606925"/>
            <wp:effectExtent l="0" t="0" r="10160" b="3175"/>
            <wp:docPr id="135" name="图片 4" descr="g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descr="gplot"/>
                    <pic:cNvPicPr>
                      <a:picLocks noChangeAspect="1"/>
                    </pic:cNvPicPr>
                  </pic:nvPicPr>
                  <pic:blipFill>
                    <a:blip r:embed="rId18"/>
                    <a:srcRect l="3075"/>
                    <a:stretch>
                      <a:fillRect/>
                    </a:stretch>
                  </pic:blipFill>
                  <pic:spPr>
                    <a:xfrm>
                      <a:off x="0" y="0"/>
                      <a:ext cx="4828540" cy="4606925"/>
                    </a:xfrm>
                    <a:prstGeom prst="rect">
                      <a:avLst/>
                    </a:prstGeom>
                    <a:noFill/>
                    <a:ln>
                      <a:noFill/>
                    </a:ln>
                  </pic:spPr>
                </pic:pic>
              </a:graphicData>
            </a:graphic>
          </wp:inline>
        </w:drawing>
      </w:r>
    </w:p>
    <w:p>
      <w:pPr>
        <w:pStyle w:val="18"/>
        <w:jc w:val="center"/>
        <w:rPr>
          <w:rFonts w:hint="eastAsia"/>
          <w:lang w:val="en-US" w:eastAsia="zh-CN"/>
        </w:rPr>
      </w:pPr>
      <w:r>
        <w:rPr>
          <w:rFonts w:hint="eastAsia" w:ascii="宋体" w:hAnsi="宋体" w:eastAsia="宋体" w:cs="宋体"/>
          <w:sz w:val="21"/>
          <w:szCs w:val="20"/>
          <w:lang w:val="en-US" w:eastAsia="zh-CN"/>
        </w:rPr>
        <w:t>图4.2.2-1 系统架构图</w:t>
      </w:r>
    </w:p>
    <w:bookmarkEnd w:id="124"/>
    <w:p>
      <w:pPr>
        <w:pStyle w:val="4"/>
        <w:rPr>
          <w:color w:val="000000" w:themeColor="text1"/>
          <w14:textFill>
            <w14:solidFill>
              <w14:schemeClr w14:val="tx1"/>
            </w14:solidFill>
          </w14:textFill>
        </w:rPr>
      </w:pPr>
      <w:bookmarkStart w:id="125" w:name="_Toc15413"/>
      <w:r>
        <w:rPr>
          <w:rFonts w:hint="eastAsia"/>
          <w:color w:val="000000" w:themeColor="text1"/>
          <w14:textFill>
            <w14:solidFill>
              <w14:schemeClr w14:val="tx1"/>
            </w14:solidFill>
          </w14:textFill>
        </w:rPr>
        <w:t>标准规范制度建设</w:t>
      </w:r>
      <w:bookmarkEnd w:id="119"/>
      <w:bookmarkEnd w:id="120"/>
      <w:bookmarkEnd w:id="121"/>
      <w:bookmarkEnd w:id="125"/>
    </w:p>
    <w:p>
      <w:pPr>
        <w:pStyle w:val="5"/>
        <w:rPr>
          <w:color w:val="000000" w:themeColor="text1"/>
          <w14:textFill>
            <w14:solidFill>
              <w14:schemeClr w14:val="tx1"/>
            </w14:solidFill>
          </w14:textFill>
        </w:rPr>
      </w:pPr>
      <w:bookmarkStart w:id="126" w:name="_Toc31504"/>
      <w:bookmarkStart w:id="127" w:name="_Toc27935627"/>
      <w:bookmarkStart w:id="128" w:name="_Toc26047362"/>
      <w:bookmarkStart w:id="129" w:name="_Toc27680005"/>
      <w:r>
        <w:rPr>
          <w:rFonts w:hint="eastAsia"/>
          <w:color w:val="000000" w:themeColor="text1"/>
          <w14:textFill>
            <w14:solidFill>
              <w14:schemeClr w14:val="tx1"/>
            </w14:solidFill>
          </w14:textFill>
        </w:rPr>
        <w:t>需制定的行业统一技术标准和管理规范</w:t>
      </w:r>
      <w:bookmarkEnd w:id="126"/>
      <w:bookmarkEnd w:id="127"/>
      <w:bookmarkEnd w:id="128"/>
      <w:bookmarkEnd w:id="129"/>
    </w:p>
    <w:p>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无。</w:t>
      </w:r>
    </w:p>
    <w:p>
      <w:pPr>
        <w:pStyle w:val="5"/>
        <w:rPr>
          <w:color w:val="000000" w:themeColor="text1"/>
          <w14:textFill>
            <w14:solidFill>
              <w14:schemeClr w14:val="tx1"/>
            </w14:solidFill>
          </w14:textFill>
        </w:rPr>
      </w:pPr>
      <w:bookmarkStart w:id="130" w:name="_Toc731"/>
      <w:bookmarkStart w:id="131" w:name="_Toc27935628"/>
      <w:bookmarkStart w:id="132" w:name="_Toc26047363"/>
      <w:bookmarkStart w:id="133" w:name="_Toc27680006"/>
      <w:r>
        <w:rPr>
          <w:rFonts w:hint="eastAsia"/>
          <w:color w:val="000000" w:themeColor="text1"/>
          <w14:textFill>
            <w14:solidFill>
              <w14:schemeClr w14:val="tx1"/>
            </w14:solidFill>
          </w14:textFill>
        </w:rPr>
        <w:t>需遵从的国家信息化标准规范和相关行业标准规范</w:t>
      </w:r>
      <w:bookmarkEnd w:id="130"/>
      <w:bookmarkEnd w:id="131"/>
      <w:bookmarkEnd w:id="132"/>
      <w:bookmarkEnd w:id="133"/>
    </w:p>
    <w:p>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本系统的规划设计严格遵循国家有关部门政策法规，涉及的标准规范包括但不限于以下的文件规定和标准。</w:t>
      </w:r>
    </w:p>
    <w:p>
      <w:pPr>
        <w:numPr>
          <w:ilvl w:val="0"/>
          <w:numId w:val="13"/>
        </w:numPr>
        <w:ind w:firstLineChars="0"/>
        <w:rPr>
          <w:rFonts w:cs="Times New Roman"/>
          <w:color w:val="000000"/>
          <w:szCs w:val="24"/>
        </w:rPr>
      </w:pPr>
      <w:r>
        <w:rPr>
          <w:rFonts w:hint="eastAsia" w:cs="Times New Roman"/>
          <w:color w:val="000000"/>
          <w:szCs w:val="24"/>
        </w:rPr>
        <w:t>《系统与软件工程用户文档的管理者要求》（</w:t>
      </w:r>
      <w:r>
        <w:rPr>
          <w:rFonts w:cs="Times New Roman"/>
          <w:color w:val="000000"/>
          <w:szCs w:val="24"/>
        </w:rPr>
        <w:t>GB/T16680-2015）；</w:t>
      </w:r>
    </w:p>
    <w:p>
      <w:pPr>
        <w:numPr>
          <w:ilvl w:val="0"/>
          <w:numId w:val="13"/>
        </w:numPr>
        <w:ind w:firstLineChars="0"/>
        <w:rPr>
          <w:rFonts w:cs="Times New Roman"/>
          <w:color w:val="000000"/>
          <w:szCs w:val="24"/>
        </w:rPr>
      </w:pPr>
      <w:r>
        <w:rPr>
          <w:rFonts w:hint="eastAsia" w:cs="Times New Roman"/>
          <w:color w:val="000000"/>
          <w:szCs w:val="24"/>
        </w:rPr>
        <w:t>《信息安全技术</w:t>
      </w:r>
      <w:r>
        <w:rPr>
          <w:rFonts w:cs="Times New Roman"/>
          <w:color w:val="000000"/>
          <w:szCs w:val="24"/>
        </w:rPr>
        <w:t xml:space="preserve"> 信息系统灾难恢复规范》（GB/T 20988-2007）</w:t>
      </w:r>
    </w:p>
    <w:p>
      <w:pPr>
        <w:numPr>
          <w:ilvl w:val="0"/>
          <w:numId w:val="13"/>
        </w:numPr>
        <w:ind w:firstLineChars="0"/>
        <w:rPr>
          <w:rFonts w:cs="Times New Roman"/>
          <w:color w:val="000000"/>
          <w:szCs w:val="24"/>
        </w:rPr>
      </w:pPr>
      <w:r>
        <w:rPr>
          <w:rFonts w:hint="eastAsia" w:cs="Times New Roman"/>
          <w:color w:val="000000"/>
          <w:szCs w:val="24"/>
        </w:rPr>
        <w:t>《信息安全技术操作系统安全技术要求》（</w:t>
      </w:r>
      <w:r>
        <w:rPr>
          <w:rFonts w:cs="Times New Roman"/>
          <w:color w:val="000000"/>
          <w:szCs w:val="24"/>
        </w:rPr>
        <w:t>GB/T20272-20</w:t>
      </w:r>
      <w:r>
        <w:rPr>
          <w:rFonts w:hint="eastAsia" w:cs="Times New Roman"/>
          <w:color w:val="000000"/>
          <w:szCs w:val="24"/>
          <w:lang w:val="en-US" w:eastAsia="zh-CN"/>
        </w:rPr>
        <w:t>19</w:t>
      </w:r>
      <w:r>
        <w:rPr>
          <w:rFonts w:cs="Times New Roman"/>
          <w:color w:val="000000"/>
          <w:szCs w:val="24"/>
        </w:rPr>
        <w:t>）；</w:t>
      </w:r>
    </w:p>
    <w:p>
      <w:pPr>
        <w:numPr>
          <w:ilvl w:val="0"/>
          <w:numId w:val="13"/>
        </w:numPr>
        <w:ind w:firstLineChars="0"/>
        <w:rPr>
          <w:rFonts w:cs="Times New Roman"/>
          <w:color w:val="000000"/>
          <w:szCs w:val="24"/>
        </w:rPr>
      </w:pPr>
      <w:r>
        <w:rPr>
          <w:rFonts w:hint="eastAsia" w:cs="Times New Roman"/>
          <w:color w:val="000000"/>
          <w:szCs w:val="24"/>
        </w:rPr>
        <w:t>《信息安全技术服务器技术要求》（</w:t>
      </w:r>
      <w:r>
        <w:rPr>
          <w:rFonts w:cs="Times New Roman"/>
          <w:color w:val="000000"/>
          <w:szCs w:val="24"/>
        </w:rPr>
        <w:t>GB/T21028-2007）；</w:t>
      </w:r>
    </w:p>
    <w:p>
      <w:pPr>
        <w:numPr>
          <w:ilvl w:val="0"/>
          <w:numId w:val="13"/>
        </w:numPr>
        <w:ind w:firstLineChars="0"/>
        <w:rPr>
          <w:rFonts w:cs="Times New Roman"/>
          <w:color w:val="000000"/>
          <w:szCs w:val="24"/>
        </w:rPr>
      </w:pPr>
      <w:r>
        <w:rPr>
          <w:rFonts w:hint="eastAsia" w:cs="Times New Roman"/>
          <w:color w:val="000000"/>
          <w:szCs w:val="24"/>
        </w:rPr>
        <w:t>《信息安全技术数据库管理系统安全技术要求》（</w:t>
      </w:r>
      <w:r>
        <w:rPr>
          <w:rFonts w:cs="Times New Roman"/>
          <w:color w:val="000000"/>
          <w:szCs w:val="24"/>
        </w:rPr>
        <w:t>GB/T20273</w:t>
      </w:r>
      <w:r>
        <w:rPr>
          <w:rFonts w:hint="eastAsia" w:cs="Times New Roman"/>
          <w:color w:val="000000"/>
          <w:szCs w:val="24"/>
        </w:rPr>
        <w:t>-</w:t>
      </w:r>
      <w:r>
        <w:rPr>
          <w:rFonts w:cs="Times New Roman"/>
          <w:color w:val="000000"/>
          <w:szCs w:val="24"/>
        </w:rPr>
        <w:t>20</w:t>
      </w:r>
      <w:r>
        <w:rPr>
          <w:rFonts w:hint="eastAsia" w:cs="Times New Roman"/>
          <w:color w:val="000000"/>
          <w:szCs w:val="24"/>
          <w:lang w:val="en-US" w:eastAsia="zh-CN"/>
        </w:rPr>
        <w:t>19</w:t>
      </w:r>
      <w:r>
        <w:rPr>
          <w:rFonts w:cs="Times New Roman"/>
          <w:color w:val="000000"/>
          <w:szCs w:val="24"/>
        </w:rPr>
        <w:t>）；</w:t>
      </w:r>
    </w:p>
    <w:p>
      <w:pPr>
        <w:numPr>
          <w:ilvl w:val="0"/>
          <w:numId w:val="13"/>
        </w:numPr>
        <w:ind w:firstLineChars="0"/>
        <w:rPr>
          <w:rFonts w:cs="Times New Roman"/>
          <w:color w:val="000000"/>
          <w:szCs w:val="24"/>
        </w:rPr>
      </w:pPr>
      <w:r>
        <w:rPr>
          <w:rFonts w:hint="eastAsia" w:cs="Times New Roman"/>
          <w:color w:val="000000"/>
          <w:szCs w:val="24"/>
        </w:rPr>
        <w:t>《信息安全技术网络安全等级保护定级指南》（</w:t>
      </w:r>
      <w:r>
        <w:rPr>
          <w:rFonts w:cs="Times New Roman"/>
          <w:color w:val="000000"/>
          <w:szCs w:val="24"/>
        </w:rPr>
        <w:t>GA/T1389-2017）；</w:t>
      </w:r>
    </w:p>
    <w:p>
      <w:pPr>
        <w:numPr>
          <w:ilvl w:val="0"/>
          <w:numId w:val="13"/>
        </w:numPr>
        <w:ind w:firstLineChars="0"/>
        <w:rPr>
          <w:rFonts w:cs="Times New Roman"/>
          <w:color w:val="000000"/>
          <w:szCs w:val="24"/>
        </w:rPr>
      </w:pPr>
      <w:r>
        <w:rPr>
          <w:rFonts w:hint="eastAsia" w:cs="Times New Roman"/>
          <w:color w:val="000000"/>
          <w:szCs w:val="24"/>
        </w:rPr>
        <w:t>《信息安全技术网络基础安全技术要求》（</w:t>
      </w:r>
      <w:r>
        <w:rPr>
          <w:rFonts w:cs="Times New Roman"/>
          <w:color w:val="000000"/>
          <w:szCs w:val="24"/>
        </w:rPr>
        <w:t>GB/T20270-2006）；</w:t>
      </w:r>
    </w:p>
    <w:p>
      <w:pPr>
        <w:numPr>
          <w:ilvl w:val="0"/>
          <w:numId w:val="13"/>
        </w:numPr>
        <w:ind w:firstLineChars="0"/>
        <w:rPr>
          <w:rFonts w:cs="Times New Roman"/>
          <w:color w:val="000000"/>
          <w:szCs w:val="24"/>
        </w:rPr>
      </w:pPr>
      <w:r>
        <w:rPr>
          <w:rFonts w:hint="eastAsia" w:cs="Times New Roman"/>
          <w:color w:val="000000"/>
          <w:szCs w:val="24"/>
        </w:rPr>
        <w:t>《信息安全技术信息系统安全工程管理要求》（</w:t>
      </w:r>
      <w:r>
        <w:rPr>
          <w:rFonts w:cs="Times New Roman"/>
          <w:color w:val="000000"/>
          <w:szCs w:val="24"/>
        </w:rPr>
        <w:t>GB/T20282-2006）；</w:t>
      </w:r>
    </w:p>
    <w:p>
      <w:pPr>
        <w:numPr>
          <w:ilvl w:val="0"/>
          <w:numId w:val="13"/>
        </w:numPr>
        <w:ind w:firstLineChars="0"/>
        <w:rPr>
          <w:rFonts w:cs="Times New Roman"/>
          <w:color w:val="000000"/>
          <w:szCs w:val="24"/>
        </w:rPr>
      </w:pPr>
      <w:r>
        <w:rPr>
          <w:rFonts w:hint="eastAsia" w:cs="Times New Roman"/>
          <w:color w:val="000000"/>
          <w:szCs w:val="24"/>
        </w:rPr>
        <w:t>《信息安全技术信息系统通用安全技术要求》（</w:t>
      </w:r>
      <w:r>
        <w:rPr>
          <w:rFonts w:cs="Times New Roman"/>
          <w:color w:val="000000"/>
          <w:szCs w:val="24"/>
        </w:rPr>
        <w:t>GB/T20271-2006）；</w:t>
      </w:r>
    </w:p>
    <w:p>
      <w:pPr>
        <w:numPr>
          <w:ilvl w:val="0"/>
          <w:numId w:val="13"/>
        </w:numPr>
        <w:ind w:firstLineChars="0"/>
        <w:rPr>
          <w:rFonts w:cs="Times New Roman"/>
          <w:color w:val="000000"/>
          <w:szCs w:val="24"/>
        </w:rPr>
      </w:pPr>
      <w:r>
        <w:rPr>
          <w:rFonts w:hint="eastAsia" w:cs="Times New Roman"/>
          <w:color w:val="000000"/>
          <w:szCs w:val="24"/>
        </w:rPr>
        <w:t>《信息处理系统开放系统互连》（</w:t>
      </w:r>
      <w:r>
        <w:rPr>
          <w:rFonts w:cs="Times New Roman"/>
          <w:color w:val="000000"/>
          <w:szCs w:val="24"/>
        </w:rPr>
        <w:t>GB/T16505-1996）；</w:t>
      </w:r>
    </w:p>
    <w:p>
      <w:pPr>
        <w:numPr>
          <w:ilvl w:val="0"/>
          <w:numId w:val="13"/>
        </w:numPr>
        <w:ind w:firstLineChars="0"/>
        <w:rPr>
          <w:rFonts w:cs="Times New Roman"/>
          <w:color w:val="000000"/>
          <w:szCs w:val="24"/>
        </w:rPr>
      </w:pPr>
      <w:r>
        <w:rPr>
          <w:rFonts w:hint="eastAsia" w:cs="Times New Roman"/>
          <w:color w:val="000000"/>
          <w:szCs w:val="24"/>
        </w:rPr>
        <w:t>《信息系统安全等级保护定级指南》（</w:t>
      </w:r>
      <w:r>
        <w:rPr>
          <w:rFonts w:cs="Times New Roman"/>
          <w:color w:val="000000"/>
          <w:szCs w:val="24"/>
        </w:rPr>
        <w:t>GB/T22240-20</w:t>
      </w:r>
      <w:r>
        <w:rPr>
          <w:rFonts w:hint="eastAsia" w:cs="Times New Roman"/>
          <w:color w:val="000000"/>
          <w:szCs w:val="24"/>
          <w:lang w:val="en-US" w:eastAsia="zh-CN"/>
        </w:rPr>
        <w:t>20</w:t>
      </w:r>
      <w:r>
        <w:rPr>
          <w:rFonts w:cs="Times New Roman"/>
          <w:color w:val="000000"/>
          <w:szCs w:val="24"/>
        </w:rPr>
        <w:t>）；</w:t>
      </w:r>
    </w:p>
    <w:p>
      <w:pPr>
        <w:numPr>
          <w:ilvl w:val="0"/>
          <w:numId w:val="13"/>
        </w:numPr>
        <w:ind w:firstLineChars="0"/>
        <w:rPr>
          <w:rFonts w:cs="Times New Roman"/>
          <w:color w:val="000000"/>
          <w:szCs w:val="24"/>
        </w:rPr>
      </w:pPr>
      <w:r>
        <w:rPr>
          <w:rFonts w:hint="eastAsia" w:cs="Times New Roman"/>
          <w:color w:val="000000"/>
          <w:szCs w:val="24"/>
        </w:rPr>
        <w:t>《信息系统安全等级保护基本要求》（</w:t>
      </w:r>
      <w:r>
        <w:rPr>
          <w:rFonts w:cs="Times New Roman"/>
          <w:color w:val="000000"/>
          <w:szCs w:val="24"/>
        </w:rPr>
        <w:t>GB/T22239-20</w:t>
      </w:r>
      <w:r>
        <w:rPr>
          <w:rFonts w:hint="eastAsia" w:cs="Times New Roman"/>
          <w:color w:val="000000"/>
          <w:szCs w:val="24"/>
          <w:lang w:val="en-US" w:eastAsia="zh-CN"/>
        </w:rPr>
        <w:t>19</w:t>
      </w:r>
      <w:r>
        <w:rPr>
          <w:rFonts w:cs="Times New Roman"/>
          <w:color w:val="000000"/>
          <w:szCs w:val="24"/>
        </w:rPr>
        <w:t>）；</w:t>
      </w:r>
    </w:p>
    <w:p>
      <w:pPr>
        <w:numPr>
          <w:ilvl w:val="0"/>
          <w:numId w:val="13"/>
        </w:numPr>
        <w:ind w:firstLineChars="0"/>
        <w:rPr>
          <w:rFonts w:cs="Times New Roman"/>
          <w:color w:val="000000"/>
          <w:szCs w:val="24"/>
        </w:rPr>
      </w:pPr>
      <w:r>
        <w:rPr>
          <w:rFonts w:hint="eastAsia" w:cs="Times New Roman"/>
          <w:color w:val="000000"/>
          <w:szCs w:val="24"/>
        </w:rPr>
        <w:t>《信息系统安全管理要求》（</w:t>
      </w:r>
      <w:r>
        <w:rPr>
          <w:rFonts w:cs="Times New Roman"/>
          <w:color w:val="000000"/>
          <w:szCs w:val="24"/>
        </w:rPr>
        <w:t>GB/T20269-2006）；</w:t>
      </w:r>
    </w:p>
    <w:p>
      <w:pPr>
        <w:numPr>
          <w:ilvl w:val="0"/>
          <w:numId w:val="13"/>
        </w:numPr>
        <w:ind w:firstLineChars="0"/>
        <w:rPr>
          <w:rFonts w:cs="Times New Roman"/>
          <w:color w:val="000000"/>
          <w:szCs w:val="24"/>
        </w:rPr>
      </w:pPr>
      <w:r>
        <w:rPr>
          <w:rFonts w:hint="eastAsia" w:cs="Times New Roman"/>
          <w:color w:val="000000"/>
          <w:szCs w:val="24"/>
        </w:rPr>
        <w:t>《信息系统等级保护安全设计技术要求》（</w:t>
      </w:r>
      <w:r>
        <w:rPr>
          <w:rFonts w:cs="Times New Roman"/>
          <w:color w:val="000000"/>
          <w:szCs w:val="24"/>
        </w:rPr>
        <w:t>GB/T25070-201</w:t>
      </w:r>
      <w:r>
        <w:rPr>
          <w:rFonts w:hint="eastAsia" w:cs="Times New Roman"/>
          <w:color w:val="000000"/>
          <w:szCs w:val="24"/>
          <w:lang w:val="en-US" w:eastAsia="zh-CN"/>
        </w:rPr>
        <w:t>9</w:t>
      </w:r>
      <w:r>
        <w:rPr>
          <w:rFonts w:cs="Times New Roman"/>
          <w:color w:val="000000"/>
          <w:szCs w:val="24"/>
        </w:rPr>
        <w:t>）；</w:t>
      </w:r>
    </w:p>
    <w:p>
      <w:pPr>
        <w:pStyle w:val="4"/>
        <w:rPr>
          <w:rFonts w:hint="default" w:cs="宋体"/>
          <w:color w:val="000000" w:themeColor="text1"/>
          <w:lang w:val="en-US" w:eastAsia="zh-CN"/>
          <w14:textFill>
            <w14:solidFill>
              <w14:schemeClr w14:val="tx1"/>
            </w14:solidFill>
          </w14:textFill>
        </w:rPr>
      </w:pPr>
      <w:bookmarkStart w:id="134" w:name="_Toc14418"/>
      <w:r>
        <w:rPr>
          <w:rFonts w:hint="eastAsia" w:cs="宋体"/>
          <w:color w:val="000000" w:themeColor="text1"/>
          <w:lang w:val="en-US" w:eastAsia="zh-CN"/>
          <w14:textFill>
            <w14:solidFill>
              <w14:schemeClr w14:val="tx1"/>
            </w14:solidFill>
          </w14:textFill>
        </w:rPr>
        <w:t>应用支撑平台和应用系统建设</w:t>
      </w:r>
      <w:bookmarkEnd w:id="134"/>
    </w:p>
    <w:p>
      <w:pPr>
        <w:rPr>
          <w:rFonts w:hint="default"/>
          <w:lang w:val="en-US" w:eastAsia="zh-CN"/>
        </w:rPr>
      </w:pPr>
      <w:r>
        <w:rPr>
          <w:rFonts w:hint="eastAsia" w:cs="宋体"/>
          <w:color w:val="000000" w:themeColor="text1"/>
          <w:lang w:val="en-US" w:eastAsia="zh-CN"/>
          <w14:textFill>
            <w14:solidFill>
              <w14:schemeClr w14:val="tx1"/>
            </w14:solidFill>
          </w14:textFill>
        </w:rPr>
        <w:t>本期项目建设农产品展销管理平台性质为软件开发，软件著作权归建设方所有。</w:t>
      </w:r>
    </w:p>
    <w:p>
      <w:pPr>
        <w:pStyle w:val="5"/>
        <w:tabs>
          <w:tab w:val="left" w:pos="1080"/>
          <w:tab w:val="clear" w:pos="720"/>
        </w:tabs>
        <w:bidi w:val="0"/>
        <w:rPr>
          <w:rFonts w:hint="eastAsia" w:cs="宋体"/>
          <w:color w:val="000000" w:themeColor="text1"/>
          <w:lang w:val="en-US" w:eastAsia="zh-CN"/>
          <w14:textFill>
            <w14:solidFill>
              <w14:schemeClr w14:val="tx1"/>
            </w14:solidFill>
          </w14:textFill>
        </w:rPr>
      </w:pPr>
      <w:bookmarkStart w:id="135" w:name="_Toc18136"/>
      <w:bookmarkStart w:id="136" w:name="_Toc9114"/>
      <w:r>
        <w:rPr>
          <w:rFonts w:hint="eastAsia"/>
          <w:lang w:val="en-US" w:eastAsia="zh-CN"/>
        </w:rPr>
        <w:t>农产品展销管理平台主要</w:t>
      </w:r>
      <w:r>
        <w:rPr>
          <w:rFonts w:hint="eastAsia" w:cs="宋体"/>
          <w:color w:val="000000" w:themeColor="text1"/>
          <w:lang w:val="en-US" w:eastAsia="zh-CN"/>
          <w14:textFill>
            <w14:solidFill>
              <w14:schemeClr w14:val="tx1"/>
            </w14:solidFill>
          </w14:textFill>
        </w:rPr>
        <w:t>功能模块设计</w:t>
      </w:r>
      <w:bookmarkEnd w:id="135"/>
      <w:bookmarkEnd w:id="136"/>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和平县乡村振兴电商农副产品电商展销管理服务平台系统主要包括的模块如下：</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完善电商系统的架构，进行资源整合，统一管理、统一分析智能化、统一平台科技化、统一数据统计、统一物流规范化。提高效率、落到实处。最终，实现由“输血式”帮扶向“造血式”帮扶转变。新建4个模块，即</w:t>
      </w:r>
      <w:r>
        <w:rPr>
          <w:rFonts w:hint="eastAsia" w:ascii="宋体" w:hAnsi="宋体" w:eastAsia="宋体" w:cs="宋体"/>
          <w:b/>
          <w:bCs/>
          <w:lang w:val="en-US" w:eastAsia="zh-CN"/>
        </w:rPr>
        <w:t>电商系统；</w:t>
      </w:r>
      <w:r>
        <w:rPr>
          <w:rFonts w:hint="eastAsia" w:ascii="宋体" w:hAnsi="宋体" w:eastAsia="宋体" w:cs="宋体"/>
          <w:b/>
          <w:bCs/>
          <w:lang w:val="zh-CN" w:eastAsia="zh-CN"/>
        </w:rPr>
        <w:t>统筹消费帮扶</w:t>
      </w:r>
      <w:r>
        <w:rPr>
          <w:rFonts w:hint="eastAsia" w:ascii="宋体" w:hAnsi="宋体" w:eastAsia="宋体" w:cs="宋体"/>
          <w:b/>
          <w:bCs/>
          <w:lang w:val="en-US" w:eastAsia="zh-CN"/>
        </w:rPr>
        <w:t>系统</w:t>
      </w:r>
      <w:r>
        <w:rPr>
          <w:rFonts w:hint="eastAsia" w:ascii="宋体" w:hAnsi="宋体" w:eastAsia="宋体" w:cs="宋体"/>
          <w:b/>
          <w:bCs/>
          <w:lang w:val="zh-CN" w:eastAsia="zh-CN"/>
        </w:rPr>
        <w:t>；</w:t>
      </w:r>
      <w:r>
        <w:rPr>
          <w:rFonts w:hint="eastAsia" w:ascii="宋体" w:hAnsi="宋体" w:eastAsia="宋体" w:cs="宋体"/>
          <w:b/>
          <w:bCs/>
          <w:lang w:val="en-US" w:eastAsia="zh-CN"/>
        </w:rPr>
        <w:t>平台对接服务</w:t>
      </w:r>
      <w:r>
        <w:rPr>
          <w:rFonts w:hint="eastAsia" w:ascii="宋体" w:hAnsi="宋体" w:eastAsia="宋体" w:cs="宋体"/>
          <w:b/>
          <w:bCs/>
          <w:lang w:val="zh-CN" w:eastAsia="zh-CN"/>
        </w:rPr>
        <w:t>；</w:t>
      </w:r>
      <w:r>
        <w:rPr>
          <w:rFonts w:hint="eastAsia" w:ascii="宋体" w:hAnsi="宋体" w:eastAsia="宋体" w:cs="宋体"/>
          <w:b/>
          <w:bCs/>
          <w:lang w:val="en-US" w:eastAsia="zh-CN"/>
        </w:rPr>
        <w:t>大屏数据中心</w:t>
      </w:r>
      <w:r>
        <w:rPr>
          <w:rFonts w:hint="eastAsia" w:ascii="宋体" w:hAnsi="宋体" w:eastAsia="宋体" w:cs="宋体"/>
          <w:b/>
          <w:bCs/>
          <w:lang w:val="zh-CN" w:eastAsia="zh-CN"/>
        </w:rPr>
        <w:t>。</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全县统一电子商务公共服务系统，实现消费帮扶数据监测统计及考核，通过系统实现工会会员实名制统筹消费帮扶、有效整合县域内电商，整合县镇村三级物流配送体系，与建成的191个镇村电商公共服务站相融合，新业务的嫁接、人员、技术等统筹培训，自上而下实现县级帮扶任务落实的三级联动，全面覆盖县镇村、并最终实现全县帮扶工作“一张网”，为和平县打造“智慧帮扶”高效政府提供有力保障。</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详细功能模块见下面分述。</w:t>
      </w:r>
    </w:p>
    <w:p>
      <w:pPr>
        <w:pStyle w:val="6"/>
        <w:bidi w:val="0"/>
        <w:rPr>
          <w:rFonts w:hint="default"/>
          <w:lang w:val="en-US" w:eastAsia="zh-CN"/>
        </w:rPr>
      </w:pPr>
      <w:r>
        <w:rPr>
          <w:rFonts w:hint="eastAsia"/>
          <w:lang w:val="en-US" w:eastAsia="zh-CN"/>
        </w:rPr>
        <w:t>电商系统模块</w:t>
      </w:r>
    </w:p>
    <w:p>
      <w:pPr>
        <w:pStyle w:val="7"/>
        <w:bidi w:val="0"/>
        <w:rPr>
          <w:rFonts w:hint="eastAsia"/>
          <w:lang w:val="en-US" w:eastAsia="zh-CN"/>
        </w:rPr>
      </w:pPr>
      <w:r>
        <w:rPr>
          <w:rFonts w:hint="eastAsia"/>
          <w:lang w:val="en-US" w:eastAsia="zh-CN"/>
        </w:rPr>
        <w:t>电商系统基础平台</w:t>
      </w:r>
    </w:p>
    <w:p>
      <w:pPr>
        <w:pStyle w:val="13"/>
        <w:spacing w:before="0" w:after="0" w:line="360" w:lineRule="auto"/>
        <w:ind w:left="0" w:firstLineChars="200"/>
        <w:rPr>
          <w:rFonts w:ascii="宋体" w:cs="宋体"/>
          <w:sz w:val="24"/>
        </w:rPr>
      </w:pPr>
      <w:r>
        <w:rPr>
          <w:rFonts w:hint="eastAsia" w:ascii="宋体" w:hAnsi="宋体" w:eastAsia="宋体" w:cs="Times New Roman"/>
          <w:bCs/>
          <w:color w:val="000000" w:themeColor="text1"/>
          <w:kern w:val="0"/>
          <w:sz w:val="24"/>
          <w:szCs w:val="24"/>
          <w:lang w:val="en-US" w:eastAsia="zh-CN" w:bidi="ar-SA"/>
          <w14:textFill>
            <w14:solidFill>
              <w14:schemeClr w14:val="tx1"/>
            </w14:solidFill>
          </w14:textFill>
        </w:rPr>
        <w:t>该部分为整个电商系统最重要部分，含基础管理、CMS管理、交易管理和平台管理；基础平台能力部署和授权，构建线上PC门户，作为供应商和采购商的入口，包含热门商品，供应商展示，以及搜索功能，卖家买家入驻，电商交易等。</w:t>
      </w:r>
    </w:p>
    <w:p>
      <w:pPr>
        <w:pStyle w:val="7"/>
        <w:bidi w:val="0"/>
        <w:rPr>
          <w:rFonts w:hint="eastAsia"/>
          <w:lang w:val="en-US" w:eastAsia="zh-CN"/>
        </w:rPr>
      </w:pPr>
      <w:r>
        <w:rPr>
          <w:rFonts w:hint="eastAsia"/>
          <w:lang w:val="en-US" w:eastAsia="zh-CN"/>
        </w:rPr>
        <w:t>系统设置模块</w:t>
      </w:r>
    </w:p>
    <w:p>
      <w:pPr>
        <w:numPr>
          <w:ilvl w:val="0"/>
          <w:numId w:val="14"/>
        </w:numPr>
        <w:bidi w:val="0"/>
      </w:pPr>
      <w:r>
        <w:rPr>
          <w:rFonts w:hint="eastAsia"/>
        </w:rPr>
        <w:t>商店设置</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管理员在此可以完成商店的几乎所有的设置，包括的设置有网店信息基本设置、显示设置、购物流程、商品显示设置、短信设置、</w:t>
      </w:r>
      <w:r>
        <w:rPr>
          <w:rFonts w:ascii="宋体" w:hAnsi="宋体" w:eastAsia="宋体" w:cs="宋体"/>
          <w:sz w:val="24"/>
        </w:rPr>
        <w:t>WAP 设置等。</w:t>
      </w:r>
    </w:p>
    <w:p>
      <w:pPr>
        <w:pStyle w:val="13"/>
        <w:tabs>
          <w:tab w:val="left" w:pos="0"/>
        </w:tabs>
        <w:spacing w:before="0" w:after="0" w:line="360" w:lineRule="auto"/>
        <w:ind w:firstLine="0" w:firstLineChars="0"/>
        <w:jc w:val="center"/>
        <w:rPr>
          <w:rFonts w:ascii="宋体" w:hAnsi="宋体" w:eastAsia="宋体" w:cs="宋体"/>
          <w:sz w:val="24"/>
        </w:rPr>
      </w:pPr>
      <w:r>
        <w:drawing>
          <wp:inline distT="0" distB="0" distL="114300" distR="114300">
            <wp:extent cx="5224780" cy="3997960"/>
            <wp:effectExtent l="0" t="0" r="13970" b="254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9"/>
                    <a:srcRect r="40235"/>
                    <a:stretch>
                      <a:fillRect/>
                    </a:stretch>
                  </pic:blipFill>
                  <pic:spPr>
                    <a:xfrm>
                      <a:off x="0" y="0"/>
                      <a:ext cx="5224780" cy="3997960"/>
                    </a:xfrm>
                    <a:prstGeom prst="rect">
                      <a:avLst/>
                    </a:prstGeom>
                    <a:noFill/>
                    <a:ln>
                      <a:noFill/>
                    </a:ln>
                  </pic:spPr>
                </pic:pic>
              </a:graphicData>
            </a:graphic>
          </wp:inline>
        </w:drawing>
      </w:r>
    </w:p>
    <w:p>
      <w:pPr>
        <w:numPr>
          <w:ilvl w:val="0"/>
          <w:numId w:val="14"/>
        </w:numPr>
        <w:bidi w:val="0"/>
        <w:rPr>
          <w:rFonts w:hint="eastAsia" w:ascii="宋体" w:hAnsi="宋体" w:eastAsia="宋体" w:cs="宋体"/>
        </w:rPr>
      </w:pPr>
      <w:r>
        <w:rPr>
          <w:rFonts w:hint="eastAsia" w:ascii="宋体" w:hAnsi="宋体" w:eastAsia="宋体" w:cs="宋体"/>
        </w:rPr>
        <w:t>会员注册项设置</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管理员可以在后台设置会员注册项的显示隐藏，也可以增加会员注册项。</w:t>
      </w:r>
    </w:p>
    <w:p>
      <w:pPr>
        <w:pStyle w:val="13"/>
        <w:spacing w:before="0" w:after="0" w:line="360" w:lineRule="auto"/>
        <w:ind w:left="0" w:leftChars="0" w:firstLine="0" w:firstLineChars="0"/>
        <w:jc w:val="center"/>
        <w:rPr>
          <w:rFonts w:ascii="宋体" w:hAnsi="宋体" w:eastAsia="宋体" w:cs="宋体"/>
          <w:sz w:val="24"/>
        </w:rPr>
      </w:pPr>
      <w:r>
        <w:rPr>
          <w:rFonts w:hint="eastAsia" w:ascii="宋体" w:hAnsi="宋体" w:eastAsia="宋体" w:cs="宋体"/>
          <w:sz w:val="24"/>
        </w:rPr>
        <w:drawing>
          <wp:inline distT="0" distB="0" distL="114300" distR="114300">
            <wp:extent cx="5191125" cy="3244215"/>
            <wp:effectExtent l="0" t="0" r="9525" b="13335"/>
            <wp:docPr id="13" name="图片 13" descr="1634177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34177610(1)"/>
                    <pic:cNvPicPr>
                      <a:picLocks noChangeAspect="1"/>
                    </pic:cNvPicPr>
                  </pic:nvPicPr>
                  <pic:blipFill>
                    <a:blip r:embed="rId20"/>
                    <a:srcRect/>
                    <a:stretch>
                      <a:fillRect/>
                    </a:stretch>
                  </pic:blipFill>
                  <pic:spPr>
                    <a:xfrm>
                      <a:off x="0" y="0"/>
                      <a:ext cx="5191125" cy="3244215"/>
                    </a:xfrm>
                    <a:prstGeom prst="rect">
                      <a:avLst/>
                    </a:prstGeom>
                  </pic:spPr>
                </pic:pic>
              </a:graphicData>
            </a:graphic>
          </wp:inline>
        </w:drawing>
      </w:r>
    </w:p>
    <w:p>
      <w:pPr>
        <w:numPr>
          <w:ilvl w:val="0"/>
          <w:numId w:val="14"/>
        </w:numPr>
        <w:bidi w:val="0"/>
        <w:rPr>
          <w:rFonts w:hint="eastAsia" w:ascii="宋体" w:hAnsi="宋体" w:eastAsia="宋体" w:cs="宋体"/>
        </w:rPr>
      </w:pPr>
      <w:r>
        <w:rPr>
          <w:rFonts w:hint="eastAsia" w:ascii="宋体" w:hAnsi="宋体" w:eastAsia="宋体" w:cs="宋体"/>
        </w:rPr>
        <w:t>支付方式</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用户在前台购物过程中点击结算中心后，会进入购物流程中，购物流程中会有支付方式，比如支付宝、微信、</w:t>
      </w:r>
      <w:r>
        <w:rPr>
          <w:rFonts w:hint="eastAsia" w:cs="宋体"/>
          <w:sz w:val="24"/>
          <w:lang w:val="en-US" w:eastAsia="zh-CN"/>
        </w:rPr>
        <w:t>云闪付</w:t>
      </w:r>
      <w:r>
        <w:rPr>
          <w:rFonts w:hint="eastAsia" w:ascii="宋体" w:hAnsi="宋体" w:eastAsia="宋体" w:cs="宋体"/>
          <w:sz w:val="24"/>
        </w:rPr>
        <w:t>支付等。</w:t>
      </w:r>
    </w:p>
    <w:p>
      <w:pPr>
        <w:pStyle w:val="13"/>
        <w:spacing w:before="0" w:after="0" w:line="360" w:lineRule="auto"/>
        <w:ind w:firstLine="0" w:firstLineChars="0"/>
        <w:jc w:val="center"/>
        <w:rPr>
          <w:rFonts w:ascii="宋体" w:hAnsi="宋体" w:eastAsia="宋体" w:cs="宋体"/>
          <w:sz w:val="24"/>
        </w:rPr>
      </w:pPr>
      <w:r>
        <w:drawing>
          <wp:inline distT="0" distB="0" distL="114300" distR="114300">
            <wp:extent cx="5226685" cy="3118485"/>
            <wp:effectExtent l="0" t="0" r="12065" b="571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1"/>
                    <a:stretch>
                      <a:fillRect/>
                    </a:stretch>
                  </pic:blipFill>
                  <pic:spPr>
                    <a:xfrm>
                      <a:off x="0" y="0"/>
                      <a:ext cx="5226685" cy="3118485"/>
                    </a:xfrm>
                    <a:prstGeom prst="rect">
                      <a:avLst/>
                    </a:prstGeom>
                    <a:noFill/>
                    <a:ln>
                      <a:noFill/>
                    </a:ln>
                  </pic:spPr>
                </pic:pic>
              </a:graphicData>
            </a:graphic>
          </wp:inline>
        </w:drawing>
      </w:r>
    </w:p>
    <w:p>
      <w:pPr>
        <w:numPr>
          <w:ilvl w:val="0"/>
          <w:numId w:val="14"/>
        </w:numPr>
        <w:bidi w:val="0"/>
        <w:rPr>
          <w:rFonts w:hint="eastAsia" w:ascii="宋体" w:hAnsi="宋体" w:eastAsia="宋体" w:cs="宋体"/>
        </w:rPr>
      </w:pPr>
      <w:r>
        <w:rPr>
          <w:rFonts w:hint="eastAsia" w:ascii="宋体" w:hAnsi="宋体" w:eastAsia="宋体" w:cs="宋体"/>
        </w:rPr>
        <w:t>配送方式</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管理员可以设置配送方式，后台内置多种物流（快递）配送方式。</w:t>
      </w:r>
    </w:p>
    <w:p>
      <w:pPr>
        <w:pStyle w:val="13"/>
        <w:spacing w:before="0" w:after="0" w:line="360" w:lineRule="auto"/>
        <w:ind w:left="0" w:leftChars="0" w:firstLine="0" w:firstLineChars="0"/>
        <w:jc w:val="center"/>
        <w:rPr>
          <w:rFonts w:ascii="宋体" w:hAnsi="宋体" w:eastAsia="宋体" w:cs="宋体"/>
          <w:sz w:val="24"/>
        </w:rPr>
      </w:pPr>
      <w:r>
        <w:drawing>
          <wp:inline distT="0" distB="0" distL="114300" distR="114300">
            <wp:extent cx="5107305" cy="3504565"/>
            <wp:effectExtent l="0" t="0" r="17145" b="63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2"/>
                    <a:stretch>
                      <a:fillRect/>
                    </a:stretch>
                  </pic:blipFill>
                  <pic:spPr>
                    <a:xfrm>
                      <a:off x="0" y="0"/>
                      <a:ext cx="5107305" cy="3504565"/>
                    </a:xfrm>
                    <a:prstGeom prst="rect">
                      <a:avLst/>
                    </a:prstGeom>
                    <a:noFill/>
                    <a:ln>
                      <a:noFill/>
                    </a:ln>
                  </pic:spPr>
                </pic:pic>
              </a:graphicData>
            </a:graphic>
          </wp:inline>
        </w:drawing>
      </w:r>
    </w:p>
    <w:p>
      <w:pPr>
        <w:numPr>
          <w:ilvl w:val="0"/>
          <w:numId w:val="14"/>
        </w:numPr>
        <w:bidi w:val="0"/>
        <w:rPr>
          <w:rFonts w:hint="eastAsia" w:ascii="宋体" w:hAnsi="宋体" w:eastAsia="宋体" w:cs="宋体"/>
        </w:rPr>
      </w:pPr>
      <w:r>
        <w:rPr>
          <w:rFonts w:hint="eastAsia" w:ascii="宋体" w:hAnsi="宋体" w:eastAsia="宋体" w:cs="宋体"/>
        </w:rPr>
        <w:t>计划任务</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就是在适当的时候，让计算机执行适当的程序，以满足用户的需求。计划任务分系统计划任务和网站计划任务。</w:t>
      </w:r>
    </w:p>
    <w:p>
      <w:pPr>
        <w:numPr>
          <w:ilvl w:val="0"/>
          <w:numId w:val="14"/>
        </w:numPr>
        <w:bidi w:val="0"/>
        <w:rPr>
          <w:rFonts w:hint="eastAsia" w:ascii="宋体" w:hAnsi="宋体" w:eastAsia="宋体" w:cs="宋体"/>
        </w:rPr>
      </w:pPr>
      <w:r>
        <w:rPr>
          <w:rFonts w:hint="eastAsia" w:ascii="宋体" w:hAnsi="宋体" w:eastAsia="宋体" w:cs="宋体"/>
        </w:rPr>
        <w:t>验证码管理</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管理员可以设置在某个模块对用户行为进行需要输入验证码，验证码可以有效防止批量注册、灌水等恶意行为。</w:t>
      </w:r>
    </w:p>
    <w:p>
      <w:pPr>
        <w:numPr>
          <w:ilvl w:val="0"/>
          <w:numId w:val="14"/>
        </w:numPr>
        <w:bidi w:val="0"/>
        <w:rPr>
          <w:rFonts w:hint="eastAsia" w:ascii="宋体" w:hAnsi="宋体" w:eastAsia="宋体" w:cs="宋体"/>
        </w:rPr>
      </w:pPr>
      <w:r>
        <w:rPr>
          <w:rFonts w:hint="eastAsia" w:ascii="宋体" w:hAnsi="宋体" w:eastAsia="宋体" w:cs="宋体"/>
        </w:rPr>
        <w:t>首页主广告管理</w:t>
      </w:r>
    </w:p>
    <w:p>
      <w:pPr>
        <w:pStyle w:val="13"/>
        <w:spacing w:before="0" w:after="0" w:line="360" w:lineRule="auto"/>
        <w:ind w:firstLineChars="200"/>
        <w:rPr>
          <w:rFonts w:hint="eastAsia" w:ascii="宋体" w:hAnsi="宋体" w:eastAsia="宋体" w:cs="宋体"/>
          <w:sz w:val="24"/>
          <w:lang w:val="en-US" w:eastAsia="zh-CN"/>
        </w:rPr>
      </w:pPr>
      <w:r>
        <w:rPr>
          <w:rFonts w:hint="eastAsia" w:ascii="宋体" w:hAnsi="宋体" w:eastAsia="宋体" w:cs="宋体"/>
          <w:sz w:val="24"/>
        </w:rPr>
        <w:t>管理员可以采用后台系统默认设置，也可使用自定义，可以设置图片</w:t>
      </w:r>
      <w:r>
        <w:rPr>
          <w:rFonts w:ascii="宋体" w:hAnsi="宋体" w:eastAsia="宋体" w:cs="宋体"/>
          <w:sz w:val="24"/>
        </w:rPr>
        <w:t>、代码、文字类型的广告。</w:t>
      </w:r>
      <w:r>
        <w:rPr>
          <w:rFonts w:hint="eastAsia" w:cs="宋体"/>
          <w:sz w:val="24"/>
          <w:lang w:val="en-US" w:eastAsia="zh-CN"/>
        </w:rPr>
        <w:t>图片可支持</w:t>
      </w:r>
      <w:r>
        <w:rPr>
          <w:rFonts w:ascii="宋体" w:hAnsi="宋体" w:eastAsia="宋体" w:cs="宋体"/>
          <w:sz w:val="24"/>
          <w:szCs w:val="24"/>
        </w:rPr>
        <w:t>600*600、600*500等</w:t>
      </w:r>
      <w:r>
        <w:rPr>
          <w:rFonts w:hint="eastAsia" w:ascii="宋体" w:hAnsi="宋体" w:eastAsia="宋体" w:cs="宋体"/>
          <w:sz w:val="24"/>
          <w:szCs w:val="24"/>
          <w:lang w:val="en-US" w:eastAsia="zh-CN"/>
        </w:rPr>
        <w:t>规格。</w:t>
      </w:r>
    </w:p>
    <w:p>
      <w:pPr>
        <w:pStyle w:val="13"/>
        <w:spacing w:before="0" w:after="0" w:line="360" w:lineRule="auto"/>
        <w:ind w:firstLineChars="200"/>
        <w:rPr>
          <w:rFonts w:ascii="宋体" w:hAnsi="宋体" w:eastAsia="宋体" w:cs="宋体"/>
          <w:sz w:val="24"/>
        </w:rPr>
      </w:pPr>
    </w:p>
    <w:p>
      <w:pPr>
        <w:pStyle w:val="13"/>
        <w:spacing w:before="0" w:after="0" w:line="360" w:lineRule="auto"/>
        <w:ind w:left="0" w:leftChars="0" w:firstLine="0" w:firstLineChars="0"/>
        <w:jc w:val="center"/>
        <w:rPr>
          <w:rFonts w:ascii="宋体" w:hAnsi="宋体" w:eastAsia="宋体" w:cs="宋体"/>
          <w:sz w:val="24"/>
        </w:rPr>
      </w:pPr>
      <w:r>
        <w:drawing>
          <wp:inline distT="0" distB="0" distL="114300" distR="114300">
            <wp:extent cx="4817110" cy="3345815"/>
            <wp:effectExtent l="0" t="0" r="2540" b="698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3"/>
                    <a:stretch>
                      <a:fillRect/>
                    </a:stretch>
                  </pic:blipFill>
                  <pic:spPr>
                    <a:xfrm>
                      <a:off x="0" y="0"/>
                      <a:ext cx="4817110" cy="3345815"/>
                    </a:xfrm>
                    <a:prstGeom prst="rect">
                      <a:avLst/>
                    </a:prstGeom>
                    <a:noFill/>
                    <a:ln>
                      <a:noFill/>
                    </a:ln>
                  </pic:spPr>
                </pic:pic>
              </a:graphicData>
            </a:graphic>
          </wp:inline>
        </w:drawing>
      </w:r>
    </w:p>
    <w:p>
      <w:pPr>
        <w:numPr>
          <w:ilvl w:val="0"/>
          <w:numId w:val="14"/>
        </w:numPr>
        <w:bidi w:val="0"/>
        <w:rPr>
          <w:rFonts w:hint="eastAsia" w:ascii="宋体" w:hAnsi="宋体" w:eastAsia="宋体" w:cs="宋体"/>
        </w:rPr>
      </w:pPr>
      <w:r>
        <w:rPr>
          <w:rFonts w:hint="eastAsia" w:ascii="宋体" w:hAnsi="宋体" w:eastAsia="宋体" w:cs="宋体"/>
        </w:rPr>
        <w:t>自定义导航栏</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管理员可以自定义导航栏并可以对其设置显示、隐藏、是否新窗口打开、显示位置等，维护方便，操作简单。</w:t>
      </w:r>
    </w:p>
    <w:p>
      <w:pPr>
        <w:pStyle w:val="13"/>
        <w:spacing w:before="0" w:after="0" w:line="360" w:lineRule="auto"/>
        <w:ind w:left="0" w:leftChars="0" w:firstLine="0" w:firstLineChars="0"/>
        <w:jc w:val="center"/>
        <w:rPr>
          <w:rFonts w:ascii="宋体" w:hAnsi="宋体" w:eastAsia="宋体" w:cs="宋体"/>
          <w:sz w:val="24"/>
        </w:rPr>
      </w:pPr>
      <w:r>
        <w:drawing>
          <wp:inline distT="0" distB="0" distL="114300" distR="114300">
            <wp:extent cx="4896485" cy="3373755"/>
            <wp:effectExtent l="0" t="0" r="18415" b="1714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4"/>
                    <a:stretch>
                      <a:fillRect/>
                    </a:stretch>
                  </pic:blipFill>
                  <pic:spPr>
                    <a:xfrm>
                      <a:off x="0" y="0"/>
                      <a:ext cx="4896485" cy="3373755"/>
                    </a:xfrm>
                    <a:prstGeom prst="rect">
                      <a:avLst/>
                    </a:prstGeom>
                    <a:noFill/>
                    <a:ln>
                      <a:noFill/>
                    </a:ln>
                  </pic:spPr>
                </pic:pic>
              </a:graphicData>
            </a:graphic>
          </wp:inline>
        </w:drawing>
      </w:r>
    </w:p>
    <w:p>
      <w:pPr>
        <w:numPr>
          <w:ilvl w:val="0"/>
          <w:numId w:val="14"/>
        </w:numPr>
        <w:bidi w:val="0"/>
        <w:rPr>
          <w:rFonts w:hint="eastAsia" w:ascii="宋体" w:hAnsi="宋体" w:eastAsia="宋体" w:cs="宋体"/>
        </w:rPr>
      </w:pPr>
      <w:r>
        <w:rPr>
          <w:rFonts w:hint="eastAsia" w:ascii="宋体" w:hAnsi="宋体" w:eastAsia="宋体" w:cs="宋体"/>
        </w:rPr>
        <w:t>站点地图</w:t>
      </w:r>
    </w:p>
    <w:p>
      <w:pPr>
        <w:pStyle w:val="13"/>
        <w:spacing w:before="0" w:after="0" w:line="360" w:lineRule="auto"/>
        <w:ind w:left="0" w:firstLineChars="200"/>
        <w:rPr>
          <w:rFonts w:ascii="宋体" w:hAnsi="宋体" w:eastAsia="宋体" w:cs="宋体"/>
          <w:sz w:val="24"/>
        </w:rPr>
      </w:pPr>
      <w:r>
        <w:rPr>
          <w:rFonts w:hint="eastAsia" w:ascii="宋体" w:hAnsi="宋体" w:eastAsia="宋体" w:cs="宋体"/>
          <w:sz w:val="24"/>
        </w:rPr>
        <w:t>网站地图可以帮助搜索引擎建立索引范围和索引的行为习惯，有利于网店优化。</w:t>
      </w:r>
    </w:p>
    <w:p>
      <w:pPr>
        <w:pStyle w:val="7"/>
        <w:bidi w:val="0"/>
        <w:rPr>
          <w:rFonts w:hint="eastAsia"/>
          <w:lang w:val="en-US" w:eastAsia="zh-CN"/>
        </w:rPr>
      </w:pPr>
      <w:r>
        <w:rPr>
          <w:rFonts w:hint="eastAsia"/>
          <w:lang w:val="en-US" w:eastAsia="zh-CN"/>
        </w:rPr>
        <w:t>物流信息模块</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含物流公司的基本信息、信息维护及信息查询；</w:t>
      </w:r>
    </w:p>
    <w:p>
      <w:pPr>
        <w:pStyle w:val="13"/>
        <w:spacing w:before="0" w:after="0" w:line="360" w:lineRule="auto"/>
        <w:ind w:firstLine="480" w:firstLineChars="200"/>
        <w:jc w:val="both"/>
        <w:rPr>
          <w:rFonts w:ascii="宋体" w:hAnsi="宋体" w:eastAsia="宋体" w:cs="宋体"/>
          <w:sz w:val="24"/>
        </w:rPr>
      </w:pPr>
      <w:r>
        <w:drawing>
          <wp:inline distT="0" distB="0" distL="114300" distR="114300">
            <wp:extent cx="4481195" cy="2588260"/>
            <wp:effectExtent l="0" t="0" r="14605" b="254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5"/>
                    <a:stretch>
                      <a:fillRect/>
                    </a:stretch>
                  </pic:blipFill>
                  <pic:spPr>
                    <a:xfrm>
                      <a:off x="0" y="0"/>
                      <a:ext cx="4481195" cy="2588260"/>
                    </a:xfrm>
                    <a:prstGeom prst="rect">
                      <a:avLst/>
                    </a:prstGeom>
                    <a:noFill/>
                    <a:ln>
                      <a:noFill/>
                    </a:ln>
                  </pic:spPr>
                </pic:pic>
              </a:graphicData>
            </a:graphic>
          </wp:inline>
        </w:drawing>
      </w:r>
    </w:p>
    <w:p>
      <w:pPr>
        <w:numPr>
          <w:ilvl w:val="0"/>
          <w:numId w:val="15"/>
        </w:numPr>
        <w:bidi w:val="0"/>
        <w:rPr>
          <w:rFonts w:hint="eastAsia" w:ascii="宋体" w:hAnsi="宋体" w:eastAsia="宋体" w:cs="宋体"/>
        </w:rPr>
      </w:pPr>
      <w:r>
        <w:rPr>
          <w:rFonts w:hint="eastAsia" w:ascii="宋体" w:hAnsi="宋体" w:eastAsia="宋体" w:cs="宋体"/>
        </w:rPr>
        <w:t>物流配置</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配置物流收费情况，根据需要可按照地区、件数设置包邮。</w:t>
      </w:r>
    </w:p>
    <w:p>
      <w:pPr>
        <w:pStyle w:val="13"/>
        <w:spacing w:before="0" w:after="0" w:line="360" w:lineRule="auto"/>
        <w:ind w:firstLine="480" w:firstLineChars="200"/>
        <w:jc w:val="center"/>
        <w:rPr>
          <w:rFonts w:ascii="宋体" w:hAnsi="宋体" w:eastAsia="宋体" w:cs="宋体"/>
          <w:sz w:val="24"/>
        </w:rPr>
      </w:pPr>
      <w:r>
        <w:drawing>
          <wp:inline distT="0" distB="0" distL="114300" distR="114300">
            <wp:extent cx="4683125" cy="2738120"/>
            <wp:effectExtent l="0" t="0" r="3175" b="508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6"/>
                    <a:srcRect r="32220"/>
                    <a:stretch>
                      <a:fillRect/>
                    </a:stretch>
                  </pic:blipFill>
                  <pic:spPr>
                    <a:xfrm>
                      <a:off x="0" y="0"/>
                      <a:ext cx="4683125" cy="2738120"/>
                    </a:xfrm>
                    <a:prstGeom prst="rect">
                      <a:avLst/>
                    </a:prstGeom>
                    <a:noFill/>
                    <a:ln>
                      <a:noFill/>
                    </a:ln>
                  </pic:spPr>
                </pic:pic>
              </a:graphicData>
            </a:graphic>
          </wp:inline>
        </w:drawing>
      </w:r>
    </w:p>
    <w:p>
      <w:pPr>
        <w:numPr>
          <w:ilvl w:val="0"/>
          <w:numId w:val="15"/>
        </w:numPr>
        <w:bidi w:val="0"/>
        <w:rPr>
          <w:rFonts w:hint="eastAsia" w:ascii="宋体" w:hAnsi="宋体" w:eastAsia="宋体" w:cs="宋体"/>
        </w:rPr>
      </w:pPr>
      <w:r>
        <w:rPr>
          <w:rFonts w:hint="eastAsia" w:ascii="宋体" w:hAnsi="宋体" w:eastAsia="宋体" w:cs="宋体"/>
        </w:rPr>
        <w:t>订单物流信息展示</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对单一订单的物流信息整体展示。</w:t>
      </w:r>
    </w:p>
    <w:p>
      <w:pPr>
        <w:numPr>
          <w:ilvl w:val="0"/>
          <w:numId w:val="15"/>
        </w:numPr>
        <w:bidi w:val="0"/>
        <w:rPr>
          <w:rFonts w:hint="eastAsia" w:ascii="宋体" w:hAnsi="宋体" w:eastAsia="宋体" w:cs="宋体"/>
        </w:rPr>
      </w:pPr>
      <w:r>
        <w:rPr>
          <w:rFonts w:hint="eastAsia" w:ascii="宋体" w:hAnsi="宋体" w:eastAsia="宋体" w:cs="宋体"/>
        </w:rPr>
        <w:t>订单物流信息查询</w:t>
      </w:r>
    </w:p>
    <w:p>
      <w:pPr>
        <w:pStyle w:val="13"/>
        <w:spacing w:before="0" w:after="0" w:line="360" w:lineRule="auto"/>
        <w:ind w:left="0" w:firstLineChars="200"/>
        <w:rPr>
          <w:rFonts w:hint="default" w:cs="宋体"/>
          <w:sz w:val="24"/>
          <w:lang w:val="en-US" w:eastAsia="zh-CN"/>
        </w:rPr>
      </w:pPr>
      <w:r>
        <w:rPr>
          <w:rFonts w:hint="eastAsia" w:ascii="宋体" w:hAnsi="宋体" w:eastAsia="宋体" w:cs="宋体"/>
          <w:sz w:val="24"/>
        </w:rPr>
        <w:t>依据订单情况进行物流信息针对性查询</w:t>
      </w:r>
      <w:r>
        <w:rPr>
          <w:rFonts w:hint="eastAsia" w:cs="宋体"/>
          <w:sz w:val="24"/>
          <w:lang w:eastAsia="zh-CN"/>
        </w:rPr>
        <w:t>，</w:t>
      </w:r>
      <w:r>
        <w:rPr>
          <w:rFonts w:hint="eastAsia" w:cs="宋体"/>
          <w:sz w:val="24"/>
          <w:lang w:val="en-US" w:eastAsia="zh-CN"/>
        </w:rPr>
        <w:t>并在地图上展示物流路径及实时位置。</w:t>
      </w:r>
    </w:p>
    <w:p>
      <w:pPr>
        <w:pStyle w:val="7"/>
        <w:bidi w:val="0"/>
        <w:rPr>
          <w:rFonts w:hint="eastAsia"/>
          <w:lang w:val="en-US" w:eastAsia="zh-CN"/>
        </w:rPr>
      </w:pPr>
      <w:r>
        <w:rPr>
          <w:rFonts w:hint="eastAsia"/>
          <w:lang w:val="en-US" w:eastAsia="zh-CN"/>
        </w:rPr>
        <w:t>商品管理模块</w:t>
      </w:r>
    </w:p>
    <w:p>
      <w:pPr>
        <w:numPr>
          <w:ilvl w:val="0"/>
          <w:numId w:val="16"/>
        </w:numPr>
        <w:bidi w:val="0"/>
        <w:rPr>
          <w:rFonts w:hint="eastAsia" w:ascii="宋体" w:hAnsi="宋体" w:eastAsia="宋体" w:cs="宋体"/>
        </w:rPr>
      </w:pPr>
      <w:r>
        <w:rPr>
          <w:rFonts w:hint="eastAsia" w:ascii="宋体" w:hAnsi="宋体" w:eastAsia="宋体" w:cs="宋体"/>
        </w:rPr>
        <w:t>商品列表</w:t>
      </w:r>
    </w:p>
    <w:p>
      <w:pPr>
        <w:pStyle w:val="13"/>
        <w:spacing w:before="0" w:after="0" w:line="360" w:lineRule="auto"/>
        <w:ind w:firstLine="480" w:firstLineChars="200"/>
        <w:rPr>
          <w:rFonts w:ascii="宋体" w:hAnsi="宋体" w:eastAsia="宋体" w:cs="宋体"/>
          <w:sz w:val="24"/>
        </w:rPr>
      </w:pPr>
      <w:r>
        <w:rPr>
          <w:rFonts w:hint="eastAsia" w:ascii="宋体" w:hAnsi="宋体" w:eastAsia="宋体" w:cs="宋体"/>
          <w:sz w:val="24"/>
        </w:rPr>
        <w:t>管理员不仅可对商品列表中的商品进行上架、精品、新品、热销等设置，也可设置商品的排列顺序。</w:t>
      </w:r>
    </w:p>
    <w:p>
      <w:pPr>
        <w:pStyle w:val="13"/>
        <w:spacing w:before="0" w:after="0" w:line="360" w:lineRule="auto"/>
        <w:ind w:left="0" w:leftChars="0" w:firstLine="0" w:firstLineChars="0"/>
        <w:jc w:val="center"/>
        <w:rPr>
          <w:rFonts w:ascii="宋体" w:hAnsi="宋体" w:eastAsia="宋体" w:cs="宋体"/>
          <w:sz w:val="24"/>
        </w:rPr>
      </w:pPr>
      <w:r>
        <w:drawing>
          <wp:inline distT="0" distB="0" distL="114300" distR="114300">
            <wp:extent cx="5107940" cy="3060065"/>
            <wp:effectExtent l="0" t="0" r="16510" b="698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7"/>
                    <a:stretch>
                      <a:fillRect/>
                    </a:stretch>
                  </pic:blipFill>
                  <pic:spPr>
                    <a:xfrm>
                      <a:off x="0" y="0"/>
                      <a:ext cx="5107940" cy="3060065"/>
                    </a:xfrm>
                    <a:prstGeom prst="rect">
                      <a:avLst/>
                    </a:prstGeom>
                    <a:noFill/>
                    <a:ln>
                      <a:noFill/>
                    </a:ln>
                  </pic:spPr>
                </pic:pic>
              </a:graphicData>
            </a:graphic>
          </wp:inline>
        </w:drawing>
      </w:r>
    </w:p>
    <w:p>
      <w:pPr>
        <w:numPr>
          <w:ilvl w:val="0"/>
          <w:numId w:val="16"/>
        </w:numPr>
        <w:bidi w:val="0"/>
        <w:rPr>
          <w:rFonts w:hint="eastAsia" w:ascii="宋体" w:hAnsi="宋体" w:eastAsia="宋体" w:cs="宋体"/>
        </w:rPr>
      </w:pPr>
      <w:r>
        <w:rPr>
          <w:rFonts w:hint="eastAsia" w:ascii="宋体" w:hAnsi="宋体" w:eastAsia="宋体" w:cs="宋体"/>
        </w:rPr>
        <w:t>添加新商品</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管理员在此添加商品详细描述、商品属性、商品相册等内容，也可以设置关联商品、配件。</w:t>
      </w:r>
    </w:p>
    <w:p>
      <w:pPr>
        <w:pStyle w:val="13"/>
        <w:spacing w:before="0" w:after="0" w:line="360" w:lineRule="auto"/>
        <w:ind w:firstLine="480" w:firstLineChars="200"/>
        <w:rPr>
          <w:rFonts w:ascii="宋体" w:hAnsi="宋体" w:eastAsia="宋体" w:cs="宋体"/>
          <w:sz w:val="24"/>
        </w:rPr>
      </w:pPr>
      <w:r>
        <w:drawing>
          <wp:inline distT="0" distB="0" distL="114300" distR="114300">
            <wp:extent cx="4935220" cy="3870325"/>
            <wp:effectExtent l="0" t="0" r="17780" b="1587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8"/>
                    <a:srcRect r="28329"/>
                    <a:stretch>
                      <a:fillRect/>
                    </a:stretch>
                  </pic:blipFill>
                  <pic:spPr>
                    <a:xfrm>
                      <a:off x="0" y="0"/>
                      <a:ext cx="4935220" cy="3870325"/>
                    </a:xfrm>
                    <a:prstGeom prst="rect">
                      <a:avLst/>
                    </a:prstGeom>
                    <a:noFill/>
                    <a:ln>
                      <a:noFill/>
                    </a:ln>
                  </pic:spPr>
                </pic:pic>
              </a:graphicData>
            </a:graphic>
          </wp:inline>
        </w:drawing>
      </w:r>
    </w:p>
    <w:p>
      <w:pPr>
        <w:numPr>
          <w:ilvl w:val="0"/>
          <w:numId w:val="16"/>
        </w:numPr>
        <w:bidi w:val="0"/>
        <w:rPr>
          <w:rFonts w:hint="eastAsia" w:ascii="宋体" w:hAnsi="宋体" w:eastAsia="宋体" w:cs="宋体"/>
        </w:rPr>
      </w:pPr>
      <w:r>
        <w:rPr>
          <w:rFonts w:hint="eastAsia" w:ascii="宋体" w:hAnsi="宋体" w:eastAsia="宋体" w:cs="宋体"/>
        </w:rPr>
        <w:t>商品分类</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管理员可以设置多级商品分类，并可对分类进行排序、设置显示及隐藏等。</w:t>
      </w:r>
    </w:p>
    <w:p>
      <w:pPr>
        <w:pStyle w:val="13"/>
        <w:spacing w:before="0" w:after="0" w:line="360" w:lineRule="auto"/>
        <w:ind w:firstLine="480" w:firstLineChars="200"/>
      </w:pPr>
    </w:p>
    <w:p>
      <w:pPr>
        <w:pStyle w:val="13"/>
        <w:spacing w:before="0" w:after="0" w:line="360" w:lineRule="auto"/>
        <w:ind w:firstLine="480" w:firstLineChars="200"/>
        <w:rPr>
          <w:rFonts w:ascii="宋体" w:hAnsi="宋体" w:eastAsia="宋体" w:cs="宋体"/>
          <w:sz w:val="24"/>
        </w:rPr>
      </w:pPr>
      <w:r>
        <w:drawing>
          <wp:inline distT="0" distB="0" distL="114300" distR="114300">
            <wp:extent cx="4917440" cy="3413760"/>
            <wp:effectExtent l="0" t="0" r="16510" b="1524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9"/>
                    <a:srcRect l="-545" r="-843"/>
                    <a:stretch>
                      <a:fillRect/>
                    </a:stretch>
                  </pic:blipFill>
                  <pic:spPr>
                    <a:xfrm>
                      <a:off x="0" y="0"/>
                      <a:ext cx="4917440" cy="3413760"/>
                    </a:xfrm>
                    <a:prstGeom prst="rect">
                      <a:avLst/>
                    </a:prstGeom>
                    <a:noFill/>
                    <a:ln>
                      <a:noFill/>
                    </a:ln>
                  </pic:spPr>
                </pic:pic>
              </a:graphicData>
            </a:graphic>
          </wp:inline>
        </w:drawing>
      </w:r>
    </w:p>
    <w:p>
      <w:pPr>
        <w:numPr>
          <w:ilvl w:val="0"/>
          <w:numId w:val="16"/>
        </w:numPr>
        <w:bidi w:val="0"/>
        <w:rPr>
          <w:rFonts w:hint="eastAsia" w:ascii="宋体" w:hAnsi="宋体" w:eastAsia="宋体" w:cs="宋体"/>
        </w:rPr>
      </w:pPr>
      <w:r>
        <w:rPr>
          <w:rFonts w:hint="eastAsia" w:ascii="宋体" w:hAnsi="宋体" w:eastAsia="宋体" w:cs="宋体"/>
        </w:rPr>
        <w:t>用户评论</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查看用户某个时间对商品的评论，并可手动设置该评论是否显示或隐藏，管理员也可以对该用户的评论进行删除。</w:t>
      </w:r>
    </w:p>
    <w:p>
      <w:pPr>
        <w:pStyle w:val="13"/>
        <w:spacing w:before="0" w:after="0" w:line="360" w:lineRule="auto"/>
        <w:ind w:firstLine="480" w:firstLineChars="200"/>
        <w:rPr>
          <w:rFonts w:ascii="宋体" w:hAnsi="宋体" w:eastAsia="宋体" w:cs="宋体"/>
          <w:sz w:val="24"/>
        </w:rPr>
      </w:pPr>
      <w:r>
        <w:drawing>
          <wp:inline distT="0" distB="0" distL="114300" distR="114300">
            <wp:extent cx="4803775" cy="1831340"/>
            <wp:effectExtent l="0" t="0" r="15875" b="1651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30"/>
                    <a:stretch>
                      <a:fillRect/>
                    </a:stretch>
                  </pic:blipFill>
                  <pic:spPr>
                    <a:xfrm>
                      <a:off x="0" y="0"/>
                      <a:ext cx="4803775" cy="1831340"/>
                    </a:xfrm>
                    <a:prstGeom prst="rect">
                      <a:avLst/>
                    </a:prstGeom>
                    <a:noFill/>
                    <a:ln>
                      <a:noFill/>
                    </a:ln>
                  </pic:spPr>
                </pic:pic>
              </a:graphicData>
            </a:graphic>
          </wp:inline>
        </w:drawing>
      </w:r>
    </w:p>
    <w:p>
      <w:pPr>
        <w:numPr>
          <w:ilvl w:val="0"/>
          <w:numId w:val="16"/>
        </w:numPr>
        <w:bidi w:val="0"/>
        <w:rPr>
          <w:rFonts w:hint="eastAsia" w:ascii="宋体" w:hAnsi="宋体" w:eastAsia="宋体" w:cs="宋体"/>
        </w:rPr>
      </w:pPr>
      <w:r>
        <w:rPr>
          <w:rFonts w:hint="eastAsia" w:ascii="宋体" w:hAnsi="宋体" w:eastAsia="宋体" w:cs="宋体"/>
        </w:rPr>
        <w:t>商品品牌</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可以添加商品品牌名称、</w:t>
      </w:r>
      <w:r>
        <w:rPr>
          <w:rFonts w:ascii="宋体" w:hAnsi="宋体" w:eastAsia="宋体" w:cs="宋体"/>
          <w:sz w:val="24"/>
        </w:rPr>
        <w:t>logo、网址、品牌描述等信息，并可进行排序，也可对该品牌设置显示或隐藏。品牌商品不受分类限制，各个品牌是独并列存在的。</w:t>
      </w:r>
    </w:p>
    <w:p>
      <w:pPr>
        <w:pStyle w:val="13"/>
        <w:spacing w:before="0" w:after="0" w:line="360" w:lineRule="auto"/>
        <w:ind w:firstLine="480" w:firstLineChars="200"/>
        <w:rPr>
          <w:rFonts w:ascii="宋体" w:hAnsi="宋体" w:eastAsia="宋体" w:cs="宋体"/>
          <w:sz w:val="24"/>
        </w:rPr>
      </w:pPr>
      <w:r>
        <w:drawing>
          <wp:inline distT="0" distB="0" distL="114300" distR="114300">
            <wp:extent cx="5018405" cy="3502660"/>
            <wp:effectExtent l="0" t="0" r="10795" b="254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31"/>
                    <a:stretch>
                      <a:fillRect/>
                    </a:stretch>
                  </pic:blipFill>
                  <pic:spPr>
                    <a:xfrm>
                      <a:off x="0" y="0"/>
                      <a:ext cx="5018405" cy="3502660"/>
                    </a:xfrm>
                    <a:prstGeom prst="rect">
                      <a:avLst/>
                    </a:prstGeom>
                    <a:noFill/>
                    <a:ln>
                      <a:noFill/>
                    </a:ln>
                  </pic:spPr>
                </pic:pic>
              </a:graphicData>
            </a:graphic>
          </wp:inline>
        </w:drawing>
      </w:r>
    </w:p>
    <w:p>
      <w:pPr>
        <w:numPr>
          <w:ilvl w:val="0"/>
          <w:numId w:val="16"/>
        </w:numPr>
        <w:bidi w:val="0"/>
        <w:rPr>
          <w:rFonts w:hint="eastAsia" w:ascii="宋体" w:hAnsi="宋体" w:eastAsia="宋体" w:cs="宋体"/>
        </w:rPr>
      </w:pPr>
      <w:r>
        <w:rPr>
          <w:rFonts w:hint="eastAsia" w:ascii="宋体" w:hAnsi="宋体" w:eastAsia="宋体" w:cs="宋体"/>
        </w:rPr>
        <w:t>商品品类</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商品类型是一个复杂的功能，用户经常会和商品分类混淆，但商品类型和商品分类是不同的，因为</w:t>
      </w:r>
      <w:r>
        <w:rPr>
          <w:rFonts w:hint="eastAsia" w:cs="宋体"/>
          <w:sz w:val="24"/>
          <w:lang w:val="en-US" w:eastAsia="zh-CN"/>
        </w:rPr>
        <w:t>它</w:t>
      </w:r>
      <w:r>
        <w:rPr>
          <w:rFonts w:hint="eastAsia" w:ascii="宋体" w:hAnsi="宋体" w:eastAsia="宋体" w:cs="宋体"/>
          <w:sz w:val="24"/>
        </w:rPr>
        <w:t>有属性的概念。</w:t>
      </w:r>
    </w:p>
    <w:p>
      <w:pPr>
        <w:pStyle w:val="13"/>
        <w:spacing w:before="0" w:after="0" w:line="360" w:lineRule="auto"/>
        <w:ind w:firstLine="480" w:firstLineChars="200"/>
        <w:rPr>
          <w:rFonts w:ascii="宋体" w:hAnsi="宋体" w:eastAsia="宋体" w:cs="宋体"/>
          <w:sz w:val="24"/>
        </w:rPr>
      </w:pPr>
      <w:r>
        <w:drawing>
          <wp:inline distT="0" distB="0" distL="114300" distR="114300">
            <wp:extent cx="4792980" cy="3282315"/>
            <wp:effectExtent l="0" t="0" r="7620" b="13335"/>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32"/>
                    <a:stretch>
                      <a:fillRect/>
                    </a:stretch>
                  </pic:blipFill>
                  <pic:spPr>
                    <a:xfrm>
                      <a:off x="0" y="0"/>
                      <a:ext cx="4792980" cy="3282315"/>
                    </a:xfrm>
                    <a:prstGeom prst="rect">
                      <a:avLst/>
                    </a:prstGeom>
                    <a:noFill/>
                    <a:ln>
                      <a:noFill/>
                    </a:ln>
                  </pic:spPr>
                </pic:pic>
              </a:graphicData>
            </a:graphic>
          </wp:inline>
        </w:drawing>
      </w:r>
    </w:p>
    <w:p>
      <w:pPr>
        <w:numPr>
          <w:ilvl w:val="0"/>
          <w:numId w:val="16"/>
        </w:numPr>
        <w:bidi w:val="0"/>
        <w:rPr>
          <w:rFonts w:hint="eastAsia" w:ascii="宋体" w:hAnsi="宋体" w:eastAsia="宋体" w:cs="宋体"/>
        </w:rPr>
      </w:pPr>
      <w:r>
        <w:rPr>
          <w:rFonts w:hint="eastAsia" w:ascii="宋体" w:hAnsi="宋体" w:eastAsia="宋体" w:cs="宋体"/>
        </w:rPr>
        <w:t>商品回收站</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可以对商品进行检索，也可对商品进行删除或者还原操作，如果还原将会还原到删除之前的状态，如果删除的话，将会彻底删除，并且商品之前包含的商品图片也会全部消失，务必谨慎操作。</w:t>
      </w:r>
    </w:p>
    <w:p>
      <w:pPr>
        <w:numPr>
          <w:ilvl w:val="0"/>
          <w:numId w:val="16"/>
        </w:numPr>
        <w:bidi w:val="0"/>
        <w:rPr>
          <w:rFonts w:hint="eastAsia" w:ascii="宋体" w:hAnsi="宋体" w:eastAsia="宋体" w:cs="宋体"/>
        </w:rPr>
      </w:pPr>
      <w:r>
        <w:rPr>
          <w:rFonts w:hint="eastAsia" w:ascii="宋体" w:hAnsi="宋体" w:eastAsia="宋体" w:cs="宋体"/>
        </w:rPr>
        <w:t>图片批量处理</w:t>
      </w:r>
    </w:p>
    <w:p>
      <w:pPr>
        <w:pStyle w:val="13"/>
        <w:spacing w:before="0" w:after="0" w:line="360" w:lineRule="auto"/>
        <w:ind w:firstLineChars="200"/>
      </w:pPr>
      <w:r>
        <w:rPr>
          <w:rFonts w:hint="eastAsia" w:ascii="宋体" w:hAnsi="宋体" w:eastAsia="宋体" w:cs="宋体"/>
          <w:sz w:val="24"/>
        </w:rPr>
        <w:t>可以批量处理商品图片、处理商品相册、重新生成缩略图、重新生成商品详情图等。</w:t>
      </w:r>
    </w:p>
    <w:p>
      <w:pPr>
        <w:pStyle w:val="13"/>
        <w:spacing w:before="0" w:after="0" w:line="360" w:lineRule="auto"/>
        <w:ind w:firstLine="480" w:firstLineChars="200"/>
        <w:rPr>
          <w:rFonts w:ascii="宋体" w:hAnsi="宋体" w:eastAsia="宋体" w:cs="宋体"/>
          <w:sz w:val="24"/>
        </w:rPr>
      </w:pPr>
      <w:r>
        <w:drawing>
          <wp:inline distT="0" distB="0" distL="114300" distR="114300">
            <wp:extent cx="4944745" cy="4177030"/>
            <wp:effectExtent l="0" t="0" r="8255" b="1397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33"/>
                    <a:srcRect r="39313"/>
                    <a:stretch>
                      <a:fillRect/>
                    </a:stretch>
                  </pic:blipFill>
                  <pic:spPr>
                    <a:xfrm>
                      <a:off x="0" y="0"/>
                      <a:ext cx="4944745" cy="4177030"/>
                    </a:xfrm>
                    <a:prstGeom prst="rect">
                      <a:avLst/>
                    </a:prstGeom>
                    <a:noFill/>
                    <a:ln>
                      <a:noFill/>
                    </a:ln>
                  </pic:spPr>
                </pic:pic>
              </a:graphicData>
            </a:graphic>
          </wp:inline>
        </w:drawing>
      </w:r>
    </w:p>
    <w:p>
      <w:pPr>
        <w:numPr>
          <w:ilvl w:val="0"/>
          <w:numId w:val="16"/>
        </w:numPr>
        <w:bidi w:val="0"/>
        <w:rPr>
          <w:rFonts w:hint="eastAsia" w:ascii="宋体" w:hAnsi="宋体" w:eastAsia="宋体" w:cs="宋体"/>
        </w:rPr>
      </w:pPr>
      <w:r>
        <w:rPr>
          <w:rFonts w:hint="eastAsia" w:ascii="宋体" w:hAnsi="宋体" w:eastAsia="宋体" w:cs="宋体"/>
        </w:rPr>
        <w:t>商品批量上传</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在批量上传以前，需将商品的图片（包括原始图片、商品图片、缩略图）命名好，并上传到空间相应目录。</w:t>
      </w:r>
    </w:p>
    <w:p>
      <w:pPr>
        <w:pStyle w:val="13"/>
        <w:spacing w:before="0" w:after="0" w:line="360" w:lineRule="auto"/>
        <w:ind w:firstLine="480" w:firstLineChars="200"/>
      </w:pPr>
    </w:p>
    <w:p>
      <w:pPr>
        <w:pStyle w:val="13"/>
        <w:spacing w:before="0" w:after="0" w:line="360" w:lineRule="auto"/>
        <w:ind w:firstLine="480" w:firstLineChars="200"/>
      </w:pPr>
    </w:p>
    <w:p>
      <w:pPr>
        <w:pStyle w:val="13"/>
        <w:spacing w:before="0" w:after="0" w:line="360" w:lineRule="auto"/>
        <w:ind w:left="0" w:leftChars="0" w:firstLine="0" w:firstLineChars="0"/>
        <w:jc w:val="center"/>
        <w:rPr>
          <w:rFonts w:ascii="宋体" w:hAnsi="宋体" w:eastAsia="宋体" w:cs="宋体"/>
          <w:sz w:val="24"/>
        </w:rPr>
      </w:pPr>
      <w:r>
        <w:drawing>
          <wp:inline distT="0" distB="0" distL="114300" distR="114300">
            <wp:extent cx="4904740" cy="2014220"/>
            <wp:effectExtent l="0" t="0" r="10160" b="508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34"/>
                    <a:srcRect r="44514" b="56506"/>
                    <a:stretch>
                      <a:fillRect/>
                    </a:stretch>
                  </pic:blipFill>
                  <pic:spPr>
                    <a:xfrm>
                      <a:off x="0" y="0"/>
                      <a:ext cx="4904740" cy="2014220"/>
                    </a:xfrm>
                    <a:prstGeom prst="rect">
                      <a:avLst/>
                    </a:prstGeom>
                    <a:noFill/>
                    <a:ln>
                      <a:noFill/>
                    </a:ln>
                  </pic:spPr>
                </pic:pic>
              </a:graphicData>
            </a:graphic>
          </wp:inline>
        </w:drawing>
      </w:r>
    </w:p>
    <w:p>
      <w:pPr>
        <w:numPr>
          <w:ilvl w:val="0"/>
          <w:numId w:val="16"/>
        </w:numPr>
        <w:bidi w:val="0"/>
        <w:rPr>
          <w:rFonts w:hint="eastAsia" w:ascii="宋体" w:hAnsi="宋体" w:eastAsia="宋体" w:cs="宋体"/>
        </w:rPr>
      </w:pPr>
      <w:r>
        <w:rPr>
          <w:rFonts w:hint="eastAsia" w:ascii="宋体" w:hAnsi="宋体" w:eastAsia="宋体" w:cs="宋体"/>
        </w:rPr>
        <w:t>商品批量导出</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可根据筛选条件将商品批量导出。</w:t>
      </w:r>
    </w:p>
    <w:p>
      <w:pPr>
        <w:numPr>
          <w:ilvl w:val="0"/>
          <w:numId w:val="16"/>
        </w:numPr>
        <w:bidi w:val="0"/>
        <w:rPr>
          <w:rFonts w:hint="eastAsia" w:ascii="宋体" w:hAnsi="宋体" w:eastAsia="宋体" w:cs="宋体"/>
        </w:rPr>
      </w:pPr>
      <w:r>
        <w:rPr>
          <w:rFonts w:hint="eastAsia" w:ascii="宋体" w:hAnsi="宋体" w:eastAsia="宋体" w:cs="宋体"/>
        </w:rPr>
        <w:t>商品批量修改</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可对筛选之后的商品进行批量修改，如更改商品价格、库存、商品品牌等信息。</w:t>
      </w:r>
    </w:p>
    <w:p>
      <w:pPr>
        <w:numPr>
          <w:ilvl w:val="0"/>
          <w:numId w:val="16"/>
        </w:numPr>
        <w:bidi w:val="0"/>
        <w:rPr>
          <w:rFonts w:hint="eastAsia" w:ascii="宋体" w:hAnsi="宋体" w:eastAsia="宋体" w:cs="宋体"/>
        </w:rPr>
      </w:pPr>
      <w:r>
        <w:rPr>
          <w:rFonts w:hint="eastAsia" w:ascii="宋体" w:hAnsi="宋体" w:eastAsia="宋体" w:cs="宋体"/>
        </w:rPr>
        <w:t>生成商品代码</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将商品生成一段简述放到其他网站上面，这样就可以在其他网站显示商品信息了，从而达到推广的作用。</w:t>
      </w:r>
    </w:p>
    <w:p>
      <w:pPr>
        <w:numPr>
          <w:ilvl w:val="0"/>
          <w:numId w:val="16"/>
        </w:numPr>
        <w:bidi w:val="0"/>
        <w:rPr>
          <w:rFonts w:hint="eastAsia" w:ascii="宋体" w:hAnsi="宋体" w:eastAsia="宋体" w:cs="宋体"/>
        </w:rPr>
      </w:pPr>
      <w:r>
        <w:rPr>
          <w:rFonts w:hint="eastAsia" w:ascii="宋体" w:hAnsi="宋体" w:eastAsia="宋体" w:cs="宋体"/>
        </w:rPr>
        <w:t>标签管理</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让客户可以对商品进行归类，方便其他用户通过标签来找到其他相关商品；管理员可以从后台对标签进行管理。</w:t>
      </w:r>
    </w:p>
    <w:p>
      <w:pPr>
        <w:pStyle w:val="13"/>
        <w:spacing w:before="0" w:after="0" w:line="360" w:lineRule="auto"/>
        <w:ind w:firstLine="480" w:firstLineChars="200"/>
        <w:jc w:val="center"/>
        <w:rPr>
          <w:rFonts w:ascii="宋体" w:hAnsi="宋体" w:eastAsia="宋体" w:cs="宋体"/>
          <w:sz w:val="24"/>
        </w:rPr>
      </w:pPr>
      <w:r>
        <w:drawing>
          <wp:inline distT="0" distB="0" distL="114300" distR="114300">
            <wp:extent cx="4605655" cy="1686560"/>
            <wp:effectExtent l="0" t="0" r="4445" b="889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35"/>
                    <a:stretch>
                      <a:fillRect/>
                    </a:stretch>
                  </pic:blipFill>
                  <pic:spPr>
                    <a:xfrm>
                      <a:off x="0" y="0"/>
                      <a:ext cx="4605655" cy="1686560"/>
                    </a:xfrm>
                    <a:prstGeom prst="rect">
                      <a:avLst/>
                    </a:prstGeom>
                    <a:noFill/>
                    <a:ln>
                      <a:noFill/>
                    </a:ln>
                  </pic:spPr>
                </pic:pic>
              </a:graphicData>
            </a:graphic>
          </wp:inline>
        </w:drawing>
      </w:r>
    </w:p>
    <w:p>
      <w:pPr>
        <w:numPr>
          <w:ilvl w:val="0"/>
          <w:numId w:val="16"/>
        </w:numPr>
        <w:bidi w:val="0"/>
        <w:rPr>
          <w:rFonts w:hint="eastAsia" w:ascii="宋体" w:hAnsi="宋体" w:eastAsia="宋体" w:cs="宋体"/>
        </w:rPr>
      </w:pPr>
      <w:r>
        <w:rPr>
          <w:rFonts w:hint="eastAsia" w:ascii="宋体" w:hAnsi="宋体" w:eastAsia="宋体" w:cs="宋体"/>
        </w:rPr>
        <w:t>商品自动上下架</w:t>
      </w:r>
    </w:p>
    <w:p>
      <w:pPr>
        <w:pStyle w:val="13"/>
        <w:spacing w:before="0" w:after="0" w:line="360" w:lineRule="auto"/>
        <w:ind w:firstLineChars="200"/>
        <w:rPr>
          <w:rFonts w:ascii="宋体" w:hAnsi="宋体" w:eastAsia="宋体" w:cs="宋体"/>
        </w:rPr>
      </w:pPr>
      <w:r>
        <w:rPr>
          <w:rFonts w:hint="eastAsia" w:ascii="宋体" w:hAnsi="宋体" w:eastAsia="宋体" w:cs="宋体"/>
          <w:sz w:val="24"/>
        </w:rPr>
        <w:t>商品自动上下架的主要功能是当在节假日没有工作人员操作的情况下，也可以对商品进行上架。</w:t>
      </w:r>
    </w:p>
    <w:p>
      <w:pPr>
        <w:pStyle w:val="7"/>
        <w:bidi w:val="0"/>
        <w:rPr>
          <w:rFonts w:hint="eastAsia"/>
          <w:lang w:val="en-US" w:eastAsia="zh-CN"/>
        </w:rPr>
      </w:pPr>
      <w:r>
        <w:rPr>
          <w:rFonts w:hint="eastAsia"/>
          <w:lang w:val="en-US" w:eastAsia="zh-CN"/>
        </w:rPr>
        <w:t>营销推广模块</w:t>
      </w:r>
    </w:p>
    <w:p>
      <w:pPr>
        <w:numPr>
          <w:ilvl w:val="0"/>
          <w:numId w:val="17"/>
        </w:numPr>
        <w:bidi w:val="0"/>
        <w:rPr>
          <w:rFonts w:hint="eastAsia" w:ascii="宋体" w:hAnsi="宋体" w:eastAsia="宋体" w:cs="宋体"/>
        </w:rPr>
      </w:pPr>
      <w:r>
        <w:rPr>
          <w:rFonts w:hint="eastAsia" w:ascii="宋体" w:hAnsi="宋体" w:eastAsia="宋体" w:cs="宋体"/>
        </w:rPr>
        <w:t>红包类型</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发红包为众多促销功能中的一个，可自定义红包类型，也可设置红包的发放方式、发放数量、红包金额等。</w:t>
      </w:r>
    </w:p>
    <w:p>
      <w:pPr>
        <w:numPr>
          <w:ilvl w:val="0"/>
          <w:numId w:val="17"/>
        </w:numPr>
        <w:bidi w:val="0"/>
        <w:rPr>
          <w:rFonts w:hint="eastAsia" w:ascii="宋体" w:hAnsi="宋体" w:eastAsia="宋体" w:cs="宋体"/>
        </w:rPr>
      </w:pPr>
      <w:r>
        <w:rPr>
          <w:rFonts w:hint="eastAsia" w:ascii="宋体" w:hAnsi="宋体" w:eastAsia="宋体" w:cs="宋体"/>
        </w:rPr>
        <w:t>祝福贺卡</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在实际的采购过程中，若购买的商品为员工家属的收取，可添加祝福贺卡。</w:t>
      </w:r>
    </w:p>
    <w:p>
      <w:pPr>
        <w:numPr>
          <w:ilvl w:val="0"/>
          <w:numId w:val="17"/>
        </w:numPr>
        <w:bidi w:val="0"/>
        <w:rPr>
          <w:rFonts w:hint="eastAsia" w:ascii="宋体" w:hAnsi="宋体" w:eastAsia="宋体" w:cs="宋体"/>
        </w:rPr>
      </w:pPr>
      <w:r>
        <w:rPr>
          <w:rFonts w:hint="eastAsia" w:ascii="宋体" w:hAnsi="宋体" w:eastAsia="宋体" w:cs="宋体"/>
        </w:rPr>
        <w:t>团购活动</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引流方式，吸引多个采购方参与其中，从而以相对优惠的价格完成采购行为。</w:t>
      </w:r>
    </w:p>
    <w:p>
      <w:pPr>
        <w:numPr>
          <w:ilvl w:val="0"/>
          <w:numId w:val="17"/>
        </w:numPr>
        <w:bidi w:val="0"/>
        <w:rPr>
          <w:rFonts w:hint="eastAsia" w:ascii="宋体" w:hAnsi="宋体" w:eastAsia="宋体" w:cs="宋体"/>
        </w:rPr>
      </w:pPr>
      <w:r>
        <w:rPr>
          <w:rFonts w:hint="eastAsia" w:ascii="宋体" w:hAnsi="宋体" w:eastAsia="宋体" w:cs="宋体"/>
        </w:rPr>
        <w:t>专题管理</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管理员可设置节日专题，将各种节日商品进行分类。</w:t>
      </w:r>
    </w:p>
    <w:p>
      <w:pPr>
        <w:numPr>
          <w:ilvl w:val="0"/>
          <w:numId w:val="17"/>
        </w:numPr>
        <w:bidi w:val="0"/>
        <w:rPr>
          <w:rFonts w:hint="eastAsia" w:ascii="宋体" w:hAnsi="宋体" w:eastAsia="宋体" w:cs="宋体"/>
        </w:rPr>
      </w:pPr>
      <w:r>
        <w:rPr>
          <w:rFonts w:hint="eastAsia" w:ascii="宋体" w:hAnsi="宋体" w:eastAsia="宋体" w:cs="宋体"/>
        </w:rPr>
        <w:t>优惠活动</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管理员可添加优惠活动，设置优惠活动的开始、结束时间以及不同等级会员享受的不同优惠。</w:t>
      </w:r>
    </w:p>
    <w:p>
      <w:pPr>
        <w:pStyle w:val="13"/>
        <w:spacing w:before="0" w:after="0" w:line="360" w:lineRule="auto"/>
        <w:ind w:firstLine="480" w:firstLineChars="200"/>
      </w:pPr>
    </w:p>
    <w:p>
      <w:pPr>
        <w:pStyle w:val="13"/>
        <w:spacing w:before="0" w:after="0" w:line="360" w:lineRule="auto"/>
        <w:ind w:firstLine="480" w:firstLineChars="200"/>
        <w:jc w:val="center"/>
        <w:rPr>
          <w:rFonts w:ascii="宋体" w:hAnsi="宋体" w:eastAsia="宋体" w:cs="宋体"/>
          <w:sz w:val="24"/>
        </w:rPr>
      </w:pPr>
      <w:r>
        <w:drawing>
          <wp:inline distT="0" distB="0" distL="114300" distR="114300">
            <wp:extent cx="4750435" cy="3709035"/>
            <wp:effectExtent l="0" t="0" r="12065" b="5715"/>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36"/>
                    <a:srcRect r="37400"/>
                    <a:stretch>
                      <a:fillRect/>
                    </a:stretch>
                  </pic:blipFill>
                  <pic:spPr>
                    <a:xfrm>
                      <a:off x="0" y="0"/>
                      <a:ext cx="4750435" cy="3709035"/>
                    </a:xfrm>
                    <a:prstGeom prst="rect">
                      <a:avLst/>
                    </a:prstGeom>
                    <a:noFill/>
                    <a:ln>
                      <a:noFill/>
                    </a:ln>
                  </pic:spPr>
                </pic:pic>
              </a:graphicData>
            </a:graphic>
          </wp:inline>
        </w:drawing>
      </w:r>
    </w:p>
    <w:p>
      <w:pPr>
        <w:numPr>
          <w:ilvl w:val="0"/>
          <w:numId w:val="17"/>
        </w:numPr>
        <w:bidi w:val="0"/>
        <w:rPr>
          <w:rFonts w:hint="eastAsia" w:ascii="宋体" w:hAnsi="宋体" w:eastAsia="宋体" w:cs="宋体"/>
        </w:rPr>
      </w:pPr>
      <w:r>
        <w:rPr>
          <w:rFonts w:hint="eastAsia" w:ascii="宋体" w:hAnsi="宋体" w:eastAsia="宋体" w:cs="宋体"/>
        </w:rPr>
        <w:t>批发管理</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管理员可以创建或者批量创建批发方案，并可按条件筛选要批发的商品。</w:t>
      </w:r>
    </w:p>
    <w:p>
      <w:pPr>
        <w:numPr>
          <w:ilvl w:val="0"/>
          <w:numId w:val="17"/>
        </w:numPr>
        <w:bidi w:val="0"/>
        <w:rPr>
          <w:rFonts w:hint="eastAsia" w:ascii="宋体" w:hAnsi="宋体" w:eastAsia="宋体" w:cs="宋体"/>
          <w:lang w:val="en-US" w:eastAsia="zh-CN"/>
        </w:rPr>
      </w:pPr>
      <w:r>
        <w:rPr>
          <w:rFonts w:hint="eastAsia" w:ascii="宋体" w:hAnsi="宋体" w:eastAsia="宋体" w:cs="宋体"/>
          <w:lang w:val="en-US" w:eastAsia="zh-CN"/>
        </w:rPr>
        <w:t>超值礼包</w:t>
      </w:r>
    </w:p>
    <w:p>
      <w:pPr>
        <w:pStyle w:val="13"/>
        <w:spacing w:before="0" w:after="0" w:line="360" w:lineRule="auto"/>
        <w:ind w:firstLineChars="200"/>
      </w:pPr>
      <w:r>
        <w:rPr>
          <w:rFonts w:hint="eastAsia" w:ascii="宋体" w:hAnsi="宋体" w:eastAsia="宋体" w:cs="宋体"/>
          <w:sz w:val="24"/>
        </w:rPr>
        <w:t>管理员可以添加超值礼包名称设置关联商品、活动开始、结束时间、礼包价格等。</w:t>
      </w:r>
    </w:p>
    <w:p>
      <w:pPr>
        <w:pStyle w:val="13"/>
        <w:spacing w:before="0" w:after="0" w:line="360" w:lineRule="auto"/>
        <w:ind w:firstLine="480" w:firstLineChars="200"/>
        <w:jc w:val="center"/>
        <w:rPr>
          <w:rFonts w:ascii="宋体" w:hAnsi="宋体" w:eastAsia="宋体" w:cs="宋体"/>
          <w:sz w:val="24"/>
        </w:rPr>
      </w:pPr>
      <w:r>
        <w:drawing>
          <wp:inline distT="0" distB="0" distL="114300" distR="114300">
            <wp:extent cx="4801870" cy="3668395"/>
            <wp:effectExtent l="0" t="0" r="17780" b="8255"/>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37"/>
                    <a:srcRect r="34161"/>
                    <a:stretch>
                      <a:fillRect/>
                    </a:stretch>
                  </pic:blipFill>
                  <pic:spPr>
                    <a:xfrm>
                      <a:off x="0" y="0"/>
                      <a:ext cx="4801870" cy="3668395"/>
                    </a:xfrm>
                    <a:prstGeom prst="rect">
                      <a:avLst/>
                    </a:prstGeom>
                    <a:noFill/>
                    <a:ln>
                      <a:noFill/>
                    </a:ln>
                  </pic:spPr>
                </pic:pic>
              </a:graphicData>
            </a:graphic>
          </wp:inline>
        </w:drawing>
      </w:r>
    </w:p>
    <w:p>
      <w:pPr>
        <w:numPr>
          <w:ilvl w:val="0"/>
          <w:numId w:val="17"/>
        </w:numPr>
        <w:bidi w:val="0"/>
        <w:rPr>
          <w:rFonts w:hint="eastAsia" w:ascii="宋体" w:hAnsi="宋体" w:eastAsia="宋体" w:cs="宋体"/>
          <w:lang w:val="en-US" w:eastAsia="zh-CN"/>
        </w:rPr>
      </w:pPr>
      <w:r>
        <w:rPr>
          <w:rFonts w:hint="eastAsia" w:ascii="宋体" w:hAnsi="宋体" w:eastAsia="宋体" w:cs="宋体"/>
          <w:lang w:val="en-US" w:eastAsia="zh-CN"/>
        </w:rPr>
        <w:t>积分商城</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积分商城中，多次复购用户可通过积分进行商品兑换。</w:t>
      </w:r>
    </w:p>
    <w:p>
      <w:pPr>
        <w:pStyle w:val="7"/>
        <w:bidi w:val="0"/>
        <w:rPr>
          <w:rFonts w:hint="eastAsia"/>
          <w:lang w:val="en-US" w:eastAsia="zh-CN"/>
        </w:rPr>
      </w:pPr>
      <w:r>
        <w:rPr>
          <w:rFonts w:hint="eastAsia"/>
          <w:lang w:val="en-US" w:eastAsia="zh-CN"/>
        </w:rPr>
        <w:t>会员系统模块</w:t>
      </w:r>
    </w:p>
    <w:p>
      <w:pPr>
        <w:numPr>
          <w:ilvl w:val="0"/>
          <w:numId w:val="18"/>
        </w:numPr>
        <w:bidi w:val="0"/>
        <w:rPr>
          <w:rFonts w:hint="eastAsia" w:ascii="宋体" w:hAnsi="宋体" w:eastAsia="宋体" w:cs="宋体"/>
          <w:lang w:val="en-US" w:eastAsia="zh-CN"/>
        </w:rPr>
      </w:pPr>
      <w:r>
        <w:rPr>
          <w:rFonts w:hint="eastAsia" w:ascii="宋体" w:hAnsi="宋体" w:eastAsia="宋体" w:cs="宋体"/>
          <w:lang w:val="en-US" w:eastAsia="zh-CN"/>
        </w:rPr>
        <w:t>会员列表</w:t>
      </w:r>
    </w:p>
    <w:p>
      <w:pPr>
        <w:pStyle w:val="13"/>
        <w:spacing w:before="0" w:after="0" w:line="360" w:lineRule="auto"/>
        <w:ind w:firstLineChars="200"/>
        <w:rPr>
          <w:rFonts w:hint="eastAsia" w:ascii="宋体" w:hAnsi="宋体" w:eastAsia="宋体" w:cs="宋体"/>
          <w:sz w:val="24"/>
        </w:rPr>
      </w:pPr>
      <w:r>
        <w:rPr>
          <w:rFonts w:hint="eastAsia" w:ascii="宋体" w:hAnsi="宋体" w:eastAsia="宋体" w:cs="宋体"/>
          <w:sz w:val="24"/>
        </w:rPr>
        <w:t>显示网店的所有会员信息，并可根据会员等级进行筛选，也可根据会员积分、会员名称等进行查询。</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管理员可以自定义会员等级，设置积分的上限、下限和该会员等级所享受的折扣率。</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管理员可以看到用户在前台的留言，可以对留言进行恢复，查看，删除等操作。</w:t>
      </w:r>
    </w:p>
    <w:p>
      <w:pPr>
        <w:pStyle w:val="13"/>
        <w:spacing w:before="0" w:after="0" w:line="360" w:lineRule="auto"/>
        <w:ind w:firstLineChars="200"/>
        <w:rPr>
          <w:rFonts w:hint="eastAsia" w:ascii="宋体" w:hAnsi="宋体" w:eastAsia="宋体" w:cs="宋体"/>
          <w:sz w:val="24"/>
        </w:rPr>
      </w:pPr>
      <w:r>
        <w:rPr>
          <w:rFonts w:hint="eastAsia" w:ascii="宋体" w:hAnsi="宋体" w:eastAsia="宋体" w:cs="宋体"/>
          <w:sz w:val="24"/>
        </w:rPr>
        <w:t>管理员可以查看会员的信息，可根据日期查看所有用户的总的资金体现。</w:t>
      </w:r>
    </w:p>
    <w:p>
      <w:pPr>
        <w:pStyle w:val="13"/>
        <w:spacing w:before="0" w:after="0" w:line="360" w:lineRule="auto"/>
        <w:ind w:firstLine="480" w:firstLineChars="200"/>
        <w:jc w:val="center"/>
        <w:rPr>
          <w:rFonts w:ascii="宋体" w:hAnsi="宋体" w:eastAsia="宋体" w:cs="宋体"/>
          <w:sz w:val="24"/>
        </w:rPr>
      </w:pPr>
      <w:r>
        <w:drawing>
          <wp:inline distT="0" distB="0" distL="114300" distR="114300">
            <wp:extent cx="4582160" cy="2002790"/>
            <wp:effectExtent l="0" t="0" r="8890" b="1651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38"/>
                    <a:stretch>
                      <a:fillRect/>
                    </a:stretch>
                  </pic:blipFill>
                  <pic:spPr>
                    <a:xfrm>
                      <a:off x="0" y="0"/>
                      <a:ext cx="4582160" cy="2002790"/>
                    </a:xfrm>
                    <a:prstGeom prst="rect">
                      <a:avLst/>
                    </a:prstGeom>
                    <a:noFill/>
                    <a:ln>
                      <a:noFill/>
                    </a:ln>
                  </pic:spPr>
                </pic:pic>
              </a:graphicData>
            </a:graphic>
          </wp:inline>
        </w:drawing>
      </w:r>
    </w:p>
    <w:p>
      <w:pPr>
        <w:numPr>
          <w:ilvl w:val="0"/>
          <w:numId w:val="18"/>
        </w:numPr>
        <w:bidi w:val="0"/>
        <w:rPr>
          <w:rFonts w:hint="eastAsia" w:ascii="宋体" w:hAnsi="宋体" w:eastAsia="宋体" w:cs="宋体"/>
          <w:lang w:val="en-US" w:eastAsia="zh-CN"/>
        </w:rPr>
      </w:pPr>
      <w:r>
        <w:rPr>
          <w:rFonts w:hint="eastAsia" w:ascii="宋体" w:hAnsi="宋体" w:eastAsia="宋体" w:cs="宋体"/>
          <w:lang w:val="en-US" w:eastAsia="zh-CN"/>
        </w:rPr>
        <w:t>添加会员</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除了用户可以在前台注册外，管理员在后台也可以直接添加会员。</w:t>
      </w:r>
    </w:p>
    <w:p>
      <w:pPr>
        <w:pStyle w:val="13"/>
        <w:spacing w:before="0" w:after="0" w:line="360" w:lineRule="auto"/>
        <w:ind w:firstLine="480" w:firstLineChars="200"/>
        <w:jc w:val="center"/>
        <w:rPr>
          <w:rFonts w:ascii="宋体" w:hAnsi="宋体" w:eastAsia="宋体" w:cs="宋体"/>
          <w:sz w:val="24"/>
        </w:rPr>
      </w:pPr>
      <w:r>
        <w:drawing>
          <wp:inline distT="0" distB="0" distL="114300" distR="114300">
            <wp:extent cx="4553585" cy="2005330"/>
            <wp:effectExtent l="0" t="0" r="18415" b="1397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39"/>
                    <a:stretch>
                      <a:fillRect/>
                    </a:stretch>
                  </pic:blipFill>
                  <pic:spPr>
                    <a:xfrm>
                      <a:off x="0" y="0"/>
                      <a:ext cx="4553585" cy="2005330"/>
                    </a:xfrm>
                    <a:prstGeom prst="rect">
                      <a:avLst/>
                    </a:prstGeom>
                    <a:noFill/>
                    <a:ln>
                      <a:noFill/>
                    </a:ln>
                  </pic:spPr>
                </pic:pic>
              </a:graphicData>
            </a:graphic>
          </wp:inline>
        </w:drawing>
      </w:r>
    </w:p>
    <w:p>
      <w:pPr>
        <w:pStyle w:val="13"/>
        <w:spacing w:before="0" w:after="0" w:line="360" w:lineRule="auto"/>
        <w:ind w:left="0" w:leftChars="0" w:firstLine="0" w:firstLineChars="0"/>
        <w:jc w:val="both"/>
        <w:rPr>
          <w:rFonts w:ascii="宋体" w:hAnsi="宋体" w:eastAsia="宋体" w:cs="宋体"/>
          <w:sz w:val="24"/>
        </w:rPr>
      </w:pPr>
    </w:p>
    <w:p>
      <w:pPr>
        <w:pStyle w:val="7"/>
        <w:bidi w:val="0"/>
        <w:rPr>
          <w:rFonts w:hint="eastAsia"/>
          <w:lang w:val="en-US" w:eastAsia="zh-CN"/>
        </w:rPr>
      </w:pPr>
      <w:r>
        <w:rPr>
          <w:rFonts w:hint="eastAsia"/>
          <w:lang w:val="en-US" w:eastAsia="zh-CN"/>
        </w:rPr>
        <w:t>订单管理模块</w:t>
      </w:r>
    </w:p>
    <w:p>
      <w:pPr>
        <w:numPr>
          <w:ilvl w:val="0"/>
          <w:numId w:val="19"/>
        </w:numPr>
        <w:bidi w:val="0"/>
        <w:rPr>
          <w:rFonts w:hint="eastAsia" w:ascii="宋体" w:hAnsi="宋体" w:eastAsia="宋体" w:cs="宋体"/>
          <w:lang w:val="en-US" w:eastAsia="zh-CN"/>
        </w:rPr>
      </w:pPr>
      <w:r>
        <w:rPr>
          <w:rFonts w:hint="eastAsia" w:ascii="宋体" w:hAnsi="宋体" w:eastAsia="宋体" w:cs="宋体"/>
          <w:lang w:val="en-US" w:eastAsia="zh-CN"/>
        </w:rPr>
        <w:t>订单列表</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管理员可把订单里的信息进行表格化的罗列，主要包括订单号、下单时间、收货人、总金额、应付金额、订单状态和操作。</w:t>
      </w:r>
    </w:p>
    <w:p>
      <w:pPr>
        <w:pStyle w:val="13"/>
        <w:spacing w:before="0" w:after="0" w:line="360" w:lineRule="auto"/>
        <w:ind w:firstLine="480" w:firstLineChars="200"/>
        <w:jc w:val="center"/>
        <w:rPr>
          <w:rFonts w:ascii="宋体" w:hAnsi="宋体" w:eastAsia="宋体" w:cs="宋体"/>
          <w:sz w:val="24"/>
        </w:rPr>
      </w:pPr>
      <w:r>
        <w:drawing>
          <wp:inline distT="0" distB="0" distL="114300" distR="114300">
            <wp:extent cx="4726305" cy="1316355"/>
            <wp:effectExtent l="0" t="0" r="17145" b="17145"/>
            <wp:docPr id="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pic:cNvPicPr>
                      <a:picLocks noChangeAspect="1"/>
                    </pic:cNvPicPr>
                  </pic:nvPicPr>
                  <pic:blipFill>
                    <a:blip r:embed="rId40"/>
                    <a:stretch>
                      <a:fillRect/>
                    </a:stretch>
                  </pic:blipFill>
                  <pic:spPr>
                    <a:xfrm>
                      <a:off x="0" y="0"/>
                      <a:ext cx="4726305" cy="1316355"/>
                    </a:xfrm>
                    <a:prstGeom prst="rect">
                      <a:avLst/>
                    </a:prstGeom>
                    <a:noFill/>
                    <a:ln>
                      <a:noFill/>
                    </a:ln>
                  </pic:spPr>
                </pic:pic>
              </a:graphicData>
            </a:graphic>
          </wp:inline>
        </w:drawing>
      </w:r>
    </w:p>
    <w:p>
      <w:pPr>
        <w:numPr>
          <w:ilvl w:val="0"/>
          <w:numId w:val="19"/>
        </w:numPr>
        <w:bidi w:val="0"/>
        <w:rPr>
          <w:rFonts w:hint="eastAsia" w:ascii="宋体" w:hAnsi="宋体" w:eastAsia="宋体" w:cs="宋体"/>
          <w:lang w:val="en-US" w:eastAsia="zh-CN"/>
        </w:rPr>
      </w:pPr>
      <w:r>
        <w:rPr>
          <w:rFonts w:hint="eastAsia" w:ascii="宋体" w:hAnsi="宋体" w:eastAsia="宋体" w:cs="宋体"/>
          <w:lang w:val="en-US" w:eastAsia="zh-CN"/>
        </w:rPr>
        <w:t>订单查询</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管理员可根据订单号、购货人、电话、地址、订单状态、支付方式等进行查询，准确定很高。</w:t>
      </w:r>
    </w:p>
    <w:p>
      <w:pPr>
        <w:pStyle w:val="13"/>
        <w:spacing w:before="0" w:after="0" w:line="360" w:lineRule="auto"/>
        <w:ind w:firstLine="480" w:firstLineChars="200"/>
        <w:jc w:val="center"/>
        <w:rPr>
          <w:rFonts w:ascii="宋体" w:hAnsi="宋体" w:eastAsia="宋体" w:cs="宋体"/>
          <w:sz w:val="24"/>
        </w:rPr>
      </w:pPr>
      <w:r>
        <w:drawing>
          <wp:inline distT="0" distB="0" distL="114300" distR="114300">
            <wp:extent cx="4794250" cy="1226185"/>
            <wp:effectExtent l="0" t="0" r="6350" b="12065"/>
            <wp:docPr id="4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5"/>
                    <pic:cNvPicPr>
                      <a:picLocks noChangeAspect="1"/>
                    </pic:cNvPicPr>
                  </pic:nvPicPr>
                  <pic:blipFill>
                    <a:blip r:embed="rId41"/>
                    <a:stretch>
                      <a:fillRect/>
                    </a:stretch>
                  </pic:blipFill>
                  <pic:spPr>
                    <a:xfrm>
                      <a:off x="0" y="0"/>
                      <a:ext cx="4794250" cy="1226185"/>
                    </a:xfrm>
                    <a:prstGeom prst="rect">
                      <a:avLst/>
                    </a:prstGeom>
                    <a:noFill/>
                    <a:ln>
                      <a:noFill/>
                    </a:ln>
                  </pic:spPr>
                </pic:pic>
              </a:graphicData>
            </a:graphic>
          </wp:inline>
        </w:drawing>
      </w:r>
    </w:p>
    <w:p>
      <w:pPr>
        <w:numPr>
          <w:ilvl w:val="0"/>
          <w:numId w:val="19"/>
        </w:numPr>
        <w:bidi w:val="0"/>
        <w:rPr>
          <w:rFonts w:ascii="宋体" w:hAnsi="宋体" w:eastAsia="宋体" w:cs="宋体"/>
        </w:rPr>
      </w:pPr>
      <w:r>
        <w:rPr>
          <w:rFonts w:hint="eastAsia" w:ascii="宋体" w:hAnsi="宋体" w:eastAsia="宋体" w:cs="宋体"/>
        </w:rPr>
        <w:t>合并</w:t>
      </w:r>
      <w:r>
        <w:rPr>
          <w:rFonts w:hint="eastAsia" w:ascii="宋体" w:hAnsi="宋体" w:eastAsia="宋体" w:cs="宋体"/>
          <w:lang w:val="en-US" w:eastAsia="zh-CN"/>
        </w:rPr>
        <w:t>订单</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采购用户在某时间段内提交多个订单，尚未发货，且收货联系人和地址均一致，即可将这多个订单进行合并。</w:t>
      </w:r>
    </w:p>
    <w:p>
      <w:pPr>
        <w:numPr>
          <w:ilvl w:val="0"/>
          <w:numId w:val="19"/>
        </w:numPr>
        <w:bidi w:val="0"/>
        <w:rPr>
          <w:rFonts w:ascii="宋体" w:hAnsi="宋体" w:eastAsia="宋体" w:cs="宋体"/>
        </w:rPr>
      </w:pPr>
      <w:r>
        <w:rPr>
          <w:rFonts w:hint="eastAsia" w:ascii="宋体" w:hAnsi="宋体" w:eastAsia="宋体" w:cs="宋体"/>
        </w:rPr>
        <w:t>订单</w:t>
      </w:r>
      <w:r>
        <w:rPr>
          <w:rFonts w:hint="eastAsia" w:ascii="宋体" w:hAnsi="宋体" w:eastAsia="宋体" w:cs="宋体"/>
          <w:lang w:val="en-US" w:eastAsia="zh-CN"/>
        </w:rPr>
        <w:t>打印</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内置订单打印模板，根据需要自己设定要打印的内容。</w:t>
      </w:r>
    </w:p>
    <w:p>
      <w:pPr>
        <w:pStyle w:val="13"/>
        <w:spacing w:before="0" w:after="0" w:line="360" w:lineRule="auto"/>
        <w:ind w:firstLine="480" w:firstLineChars="200"/>
        <w:jc w:val="center"/>
        <w:rPr>
          <w:rFonts w:ascii="宋体" w:hAnsi="宋体" w:eastAsia="宋体" w:cs="宋体"/>
          <w:sz w:val="24"/>
        </w:rPr>
      </w:pPr>
      <w:r>
        <w:drawing>
          <wp:inline distT="0" distB="0" distL="114300" distR="114300">
            <wp:extent cx="4502150" cy="1685925"/>
            <wp:effectExtent l="0" t="0" r="1270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pic:cNvPicPr>
                      <a:picLocks noChangeAspect="1"/>
                    </pic:cNvPicPr>
                  </pic:nvPicPr>
                  <pic:blipFill>
                    <a:blip r:embed="rId42"/>
                    <a:stretch>
                      <a:fillRect/>
                    </a:stretch>
                  </pic:blipFill>
                  <pic:spPr>
                    <a:xfrm>
                      <a:off x="0" y="0"/>
                      <a:ext cx="4502150" cy="1685925"/>
                    </a:xfrm>
                    <a:prstGeom prst="rect">
                      <a:avLst/>
                    </a:prstGeom>
                    <a:noFill/>
                    <a:ln>
                      <a:noFill/>
                    </a:ln>
                  </pic:spPr>
                </pic:pic>
              </a:graphicData>
            </a:graphic>
          </wp:inline>
        </w:drawing>
      </w:r>
    </w:p>
    <w:p>
      <w:pPr>
        <w:numPr>
          <w:ilvl w:val="0"/>
          <w:numId w:val="19"/>
        </w:numPr>
        <w:bidi w:val="0"/>
        <w:rPr>
          <w:rFonts w:ascii="宋体" w:hAnsi="宋体" w:eastAsia="宋体" w:cs="宋体"/>
        </w:rPr>
      </w:pPr>
      <w:r>
        <w:rPr>
          <w:rFonts w:hint="eastAsia" w:ascii="宋体" w:hAnsi="宋体" w:eastAsia="宋体" w:cs="宋体"/>
        </w:rPr>
        <w:t>缺货登记</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用户在前台购买商品的时候，如果购买的数量超过了库存，此时用户可以在前台给店主进行缺货登记，这样在后台缺货登记的地方就有记录了。</w:t>
      </w:r>
    </w:p>
    <w:p>
      <w:pPr>
        <w:numPr>
          <w:ilvl w:val="0"/>
          <w:numId w:val="19"/>
        </w:numPr>
        <w:bidi w:val="0"/>
        <w:rPr>
          <w:rFonts w:ascii="宋体" w:hAnsi="宋体" w:eastAsia="宋体" w:cs="宋体"/>
        </w:rPr>
      </w:pPr>
      <w:r>
        <w:rPr>
          <w:rFonts w:hint="eastAsia" w:ascii="宋体" w:hAnsi="宋体" w:eastAsia="宋体" w:cs="宋体"/>
        </w:rPr>
        <w:t>发货单列表</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显示发货单号、下单时间、收货人、发货状态等信息，并可根据发货单状态进行筛选，如：已发货、退货、正常。</w:t>
      </w:r>
    </w:p>
    <w:p>
      <w:pPr>
        <w:pStyle w:val="13"/>
        <w:spacing w:before="0" w:after="0" w:line="360" w:lineRule="auto"/>
        <w:ind w:firstLine="480" w:firstLineChars="200"/>
        <w:jc w:val="center"/>
        <w:rPr>
          <w:rFonts w:ascii="宋体" w:hAnsi="宋体" w:eastAsia="宋体" w:cs="宋体"/>
          <w:sz w:val="24"/>
        </w:rPr>
      </w:pPr>
      <w:r>
        <w:drawing>
          <wp:inline distT="0" distB="0" distL="114300" distR="114300">
            <wp:extent cx="4731385" cy="1252220"/>
            <wp:effectExtent l="0" t="0" r="12065" b="5080"/>
            <wp:docPr id="5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pic:cNvPicPr>
                      <a:picLocks noChangeAspect="1"/>
                    </pic:cNvPicPr>
                  </pic:nvPicPr>
                  <pic:blipFill>
                    <a:blip r:embed="rId43"/>
                    <a:stretch>
                      <a:fillRect/>
                    </a:stretch>
                  </pic:blipFill>
                  <pic:spPr>
                    <a:xfrm>
                      <a:off x="0" y="0"/>
                      <a:ext cx="4731385" cy="1252220"/>
                    </a:xfrm>
                    <a:prstGeom prst="rect">
                      <a:avLst/>
                    </a:prstGeom>
                    <a:noFill/>
                    <a:ln>
                      <a:noFill/>
                    </a:ln>
                  </pic:spPr>
                </pic:pic>
              </a:graphicData>
            </a:graphic>
          </wp:inline>
        </w:drawing>
      </w:r>
    </w:p>
    <w:p>
      <w:pPr>
        <w:numPr>
          <w:ilvl w:val="0"/>
          <w:numId w:val="19"/>
        </w:numPr>
        <w:bidi w:val="0"/>
        <w:rPr>
          <w:rFonts w:ascii="宋体" w:hAnsi="宋体" w:eastAsia="宋体" w:cs="宋体"/>
        </w:rPr>
      </w:pPr>
      <w:r>
        <w:rPr>
          <w:rFonts w:hint="eastAsia" w:ascii="宋体" w:hAnsi="宋体" w:eastAsia="宋体" w:cs="宋体"/>
        </w:rPr>
        <w:t>退货</w:t>
      </w:r>
      <w:r>
        <w:rPr>
          <w:rFonts w:hint="eastAsia" w:ascii="宋体" w:hAnsi="宋体" w:eastAsia="宋体" w:cs="宋体"/>
          <w:lang w:val="en-US" w:eastAsia="zh-CN"/>
        </w:rPr>
        <w:t>单列</w:t>
      </w:r>
      <w:r>
        <w:rPr>
          <w:rFonts w:hint="eastAsia" w:ascii="宋体" w:hAnsi="宋体" w:eastAsia="宋体" w:cs="宋体"/>
        </w:rPr>
        <w:t>表</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显示退货单信息，并可根据发货单流水号、订单号、收货人等进行搜索。</w:t>
      </w:r>
    </w:p>
    <w:p>
      <w:pPr>
        <w:pStyle w:val="13"/>
        <w:spacing w:before="0" w:after="0" w:line="360" w:lineRule="auto"/>
        <w:ind w:firstLine="480" w:firstLineChars="200"/>
        <w:jc w:val="center"/>
      </w:pPr>
      <w:r>
        <w:drawing>
          <wp:inline distT="0" distB="0" distL="114300" distR="114300">
            <wp:extent cx="4754880" cy="1293495"/>
            <wp:effectExtent l="0" t="0" r="7620" b="190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pic:cNvPicPr>
                      <a:picLocks noChangeAspect="1"/>
                    </pic:cNvPicPr>
                  </pic:nvPicPr>
                  <pic:blipFill>
                    <a:blip r:embed="rId44"/>
                    <a:stretch>
                      <a:fillRect/>
                    </a:stretch>
                  </pic:blipFill>
                  <pic:spPr>
                    <a:xfrm>
                      <a:off x="0" y="0"/>
                      <a:ext cx="4754880" cy="1293495"/>
                    </a:xfrm>
                    <a:prstGeom prst="rect">
                      <a:avLst/>
                    </a:prstGeom>
                    <a:noFill/>
                    <a:ln>
                      <a:noFill/>
                    </a:ln>
                  </pic:spPr>
                </pic:pic>
              </a:graphicData>
            </a:graphic>
          </wp:inline>
        </w:drawing>
      </w:r>
    </w:p>
    <w:p>
      <w:pPr>
        <w:numPr>
          <w:ilvl w:val="0"/>
          <w:numId w:val="19"/>
        </w:numPr>
        <w:bidi w:val="0"/>
        <w:rPr>
          <w:rFonts w:ascii="宋体" w:hAnsi="宋体" w:eastAsia="宋体" w:cs="宋体"/>
        </w:rPr>
      </w:pPr>
      <w:r>
        <w:rPr>
          <w:rFonts w:hint="eastAsia" w:cs="宋体"/>
          <w:lang w:val="en-US" w:eastAsia="zh-CN"/>
        </w:rPr>
        <w:t>换</w:t>
      </w:r>
      <w:r>
        <w:rPr>
          <w:rFonts w:hint="eastAsia" w:ascii="宋体" w:hAnsi="宋体" w:eastAsia="宋体" w:cs="宋体"/>
        </w:rPr>
        <w:t>货</w:t>
      </w:r>
      <w:r>
        <w:rPr>
          <w:rFonts w:hint="eastAsia" w:ascii="宋体" w:hAnsi="宋体" w:eastAsia="宋体" w:cs="宋体"/>
          <w:lang w:val="en-US" w:eastAsia="zh-CN"/>
        </w:rPr>
        <w:t>单列</w:t>
      </w:r>
      <w:r>
        <w:rPr>
          <w:rFonts w:hint="eastAsia" w:ascii="宋体" w:hAnsi="宋体" w:eastAsia="宋体" w:cs="宋体"/>
        </w:rPr>
        <w:t>表</w:t>
      </w:r>
    </w:p>
    <w:p>
      <w:pPr>
        <w:pStyle w:val="13"/>
        <w:spacing w:before="0" w:after="0" w:line="360" w:lineRule="auto"/>
        <w:ind w:firstLineChars="200"/>
        <w:rPr>
          <w:rFonts w:hint="eastAsia"/>
          <w:lang w:val="en-US" w:eastAsia="zh-CN"/>
        </w:rPr>
      </w:pPr>
      <w:r>
        <w:rPr>
          <w:rFonts w:hint="eastAsia" w:ascii="宋体" w:hAnsi="宋体" w:eastAsia="宋体" w:cs="宋体"/>
          <w:sz w:val="24"/>
        </w:rPr>
        <w:t>显示</w:t>
      </w:r>
      <w:r>
        <w:rPr>
          <w:rFonts w:hint="eastAsia" w:cs="宋体"/>
          <w:sz w:val="24"/>
          <w:lang w:val="en-US" w:eastAsia="zh-CN"/>
        </w:rPr>
        <w:t>换</w:t>
      </w:r>
      <w:r>
        <w:rPr>
          <w:rFonts w:hint="eastAsia" w:ascii="宋体" w:hAnsi="宋体" w:eastAsia="宋体" w:cs="宋体"/>
          <w:sz w:val="24"/>
        </w:rPr>
        <w:t>货单信息，并可根据发货单流水号、订单号、收货人等进行搜索。</w:t>
      </w:r>
    </w:p>
    <w:p>
      <w:pPr>
        <w:pStyle w:val="7"/>
        <w:bidi w:val="0"/>
        <w:rPr>
          <w:rFonts w:hint="eastAsia"/>
          <w:lang w:val="en-US" w:eastAsia="zh-CN"/>
        </w:rPr>
      </w:pPr>
      <w:r>
        <w:rPr>
          <w:rFonts w:hint="eastAsia"/>
          <w:lang w:val="en-US" w:eastAsia="zh-CN"/>
        </w:rPr>
        <w:t>广告模块</w:t>
      </w:r>
    </w:p>
    <w:p>
      <w:pPr>
        <w:numPr>
          <w:ilvl w:val="0"/>
          <w:numId w:val="20"/>
        </w:numPr>
        <w:bidi w:val="0"/>
        <w:rPr>
          <w:rFonts w:hint="eastAsia" w:ascii="宋体" w:hAnsi="宋体" w:eastAsia="宋体" w:cs="宋体"/>
        </w:rPr>
      </w:pPr>
      <w:r>
        <w:rPr>
          <w:rFonts w:hint="eastAsia" w:ascii="宋体" w:hAnsi="宋体" w:eastAsia="宋体" w:cs="宋体"/>
        </w:rPr>
        <w:t>广告列表</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广告列表页面列出管理员所有的广告信息，包括站内广告以及管理员在其他网站投放的站外广告信息。</w:t>
      </w:r>
    </w:p>
    <w:p>
      <w:pPr>
        <w:pStyle w:val="13"/>
        <w:spacing w:before="0" w:after="0" w:line="360" w:lineRule="auto"/>
        <w:ind w:firstLine="480" w:firstLineChars="200"/>
        <w:rPr>
          <w:rFonts w:ascii="宋体" w:hAnsi="宋体" w:eastAsia="宋体" w:cs="宋体"/>
          <w:sz w:val="24"/>
        </w:rPr>
      </w:pPr>
      <w:r>
        <w:drawing>
          <wp:inline distT="0" distB="0" distL="114300" distR="114300">
            <wp:extent cx="4974590" cy="2754630"/>
            <wp:effectExtent l="0" t="0" r="16510" b="7620"/>
            <wp:docPr id="4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
                    <pic:cNvPicPr>
                      <a:picLocks noChangeAspect="1"/>
                    </pic:cNvPicPr>
                  </pic:nvPicPr>
                  <pic:blipFill>
                    <a:blip r:embed="rId45"/>
                    <a:stretch>
                      <a:fillRect/>
                    </a:stretch>
                  </pic:blipFill>
                  <pic:spPr>
                    <a:xfrm>
                      <a:off x="0" y="0"/>
                      <a:ext cx="4974590" cy="2754630"/>
                    </a:xfrm>
                    <a:prstGeom prst="rect">
                      <a:avLst/>
                    </a:prstGeom>
                    <a:noFill/>
                    <a:ln>
                      <a:noFill/>
                    </a:ln>
                  </pic:spPr>
                </pic:pic>
              </a:graphicData>
            </a:graphic>
          </wp:inline>
        </w:drawing>
      </w:r>
    </w:p>
    <w:p>
      <w:pPr>
        <w:numPr>
          <w:ilvl w:val="0"/>
          <w:numId w:val="20"/>
        </w:numPr>
        <w:bidi w:val="0"/>
        <w:rPr>
          <w:rFonts w:hint="eastAsia" w:ascii="宋体" w:hAnsi="宋体" w:eastAsia="宋体" w:cs="宋体"/>
        </w:rPr>
      </w:pPr>
      <w:r>
        <w:rPr>
          <w:rFonts w:hint="eastAsia" w:ascii="宋体" w:hAnsi="宋体" w:eastAsia="宋体" w:cs="宋体"/>
        </w:rPr>
        <w:t>广告位置</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添加广告，首先要给广告一个显示位置，所以需要先添加广告位置，管理员可以设置广告位的尺寸、描述等。</w:t>
      </w:r>
    </w:p>
    <w:p>
      <w:pPr>
        <w:pStyle w:val="13"/>
        <w:spacing w:before="0" w:after="0" w:line="360" w:lineRule="auto"/>
        <w:ind w:firstLine="480" w:firstLineChars="200"/>
        <w:rPr>
          <w:rFonts w:ascii="宋体" w:hAnsi="宋体" w:eastAsia="宋体" w:cs="宋体"/>
          <w:sz w:val="24"/>
        </w:rPr>
      </w:pPr>
      <w:r>
        <w:drawing>
          <wp:inline distT="0" distB="0" distL="114300" distR="114300">
            <wp:extent cx="4822825" cy="2755900"/>
            <wp:effectExtent l="0" t="0" r="15875" b="6350"/>
            <wp:docPr id="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4"/>
                    <pic:cNvPicPr>
                      <a:picLocks noChangeAspect="1"/>
                    </pic:cNvPicPr>
                  </pic:nvPicPr>
                  <pic:blipFill>
                    <a:blip r:embed="rId46"/>
                    <a:stretch>
                      <a:fillRect/>
                    </a:stretch>
                  </pic:blipFill>
                  <pic:spPr>
                    <a:xfrm>
                      <a:off x="0" y="0"/>
                      <a:ext cx="4822825" cy="2755900"/>
                    </a:xfrm>
                    <a:prstGeom prst="rect">
                      <a:avLst/>
                    </a:prstGeom>
                    <a:noFill/>
                    <a:ln>
                      <a:noFill/>
                    </a:ln>
                  </pic:spPr>
                </pic:pic>
              </a:graphicData>
            </a:graphic>
          </wp:inline>
        </w:drawing>
      </w:r>
    </w:p>
    <w:p>
      <w:pPr>
        <w:pStyle w:val="13"/>
        <w:spacing w:before="0" w:after="0" w:line="360" w:lineRule="auto"/>
        <w:ind w:firstLineChars="200"/>
        <w:rPr>
          <w:rFonts w:ascii="宋体" w:hAnsi="宋体" w:cs="宋体"/>
          <w:sz w:val="24"/>
        </w:rPr>
      </w:pPr>
    </w:p>
    <w:p>
      <w:pPr>
        <w:pStyle w:val="7"/>
        <w:bidi w:val="0"/>
        <w:rPr>
          <w:rFonts w:hint="eastAsia"/>
          <w:lang w:val="en-US" w:eastAsia="zh-CN"/>
        </w:rPr>
      </w:pPr>
      <w:r>
        <w:rPr>
          <w:rFonts w:hint="eastAsia"/>
          <w:lang w:val="en-US" w:eastAsia="zh-CN"/>
        </w:rPr>
        <w:t>发票模块</w:t>
      </w:r>
    </w:p>
    <w:p>
      <w:pPr>
        <w:numPr>
          <w:ilvl w:val="0"/>
          <w:numId w:val="21"/>
        </w:numPr>
        <w:bidi w:val="0"/>
        <w:rPr>
          <w:rFonts w:hint="eastAsia" w:ascii="宋体" w:hAnsi="宋体" w:eastAsia="宋体" w:cs="宋体"/>
        </w:rPr>
      </w:pPr>
      <w:r>
        <w:rPr>
          <w:rFonts w:hint="eastAsia" w:ascii="宋体" w:hAnsi="宋体" w:eastAsia="宋体" w:cs="宋体"/>
        </w:rPr>
        <w:t>发票申请</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管理员及下单用户可通过订单详情进行发票申请。</w:t>
      </w:r>
    </w:p>
    <w:p>
      <w:pPr>
        <w:numPr>
          <w:ilvl w:val="0"/>
          <w:numId w:val="21"/>
        </w:numPr>
        <w:bidi w:val="0"/>
        <w:rPr>
          <w:rFonts w:hint="eastAsia" w:ascii="宋体" w:hAnsi="宋体" w:eastAsia="宋体" w:cs="宋体"/>
        </w:rPr>
      </w:pPr>
      <w:r>
        <w:rPr>
          <w:rFonts w:hint="eastAsia" w:ascii="宋体" w:hAnsi="宋体" w:eastAsia="宋体" w:cs="宋体"/>
        </w:rPr>
        <w:t>发票形式</w:t>
      </w:r>
    </w:p>
    <w:p>
      <w:pPr>
        <w:pStyle w:val="13"/>
        <w:spacing w:before="0" w:after="0" w:line="360" w:lineRule="auto"/>
        <w:ind w:firstLineChars="200"/>
        <w:rPr>
          <w:rFonts w:ascii="宋体" w:hAnsi="宋体" w:cs="宋体"/>
          <w:sz w:val="24"/>
        </w:rPr>
      </w:pPr>
      <w:r>
        <w:rPr>
          <w:rFonts w:hint="eastAsia" w:ascii="宋体" w:hAnsi="宋体" w:eastAsia="宋体" w:cs="宋体"/>
          <w:sz w:val="24"/>
        </w:rPr>
        <w:t>开具发票形式可选：电子发票、纸质发票</w:t>
      </w:r>
    </w:p>
    <w:p>
      <w:pPr>
        <w:pStyle w:val="7"/>
        <w:bidi w:val="0"/>
        <w:rPr>
          <w:rFonts w:hint="eastAsia"/>
          <w:lang w:val="en-US" w:eastAsia="zh-CN"/>
        </w:rPr>
      </w:pPr>
      <w:r>
        <w:rPr>
          <w:rFonts w:hint="eastAsia"/>
          <w:lang w:val="en-US" w:eastAsia="zh-CN"/>
        </w:rPr>
        <w:t>管理中心</w:t>
      </w:r>
    </w:p>
    <w:p>
      <w:pPr>
        <w:numPr>
          <w:ilvl w:val="0"/>
          <w:numId w:val="22"/>
        </w:numPr>
        <w:bidi w:val="0"/>
        <w:rPr>
          <w:rFonts w:hint="eastAsia" w:ascii="宋体" w:hAnsi="宋体" w:eastAsia="宋体" w:cs="宋体"/>
        </w:rPr>
      </w:pPr>
      <w:r>
        <w:rPr>
          <w:rFonts w:hint="eastAsia" w:ascii="宋体" w:hAnsi="宋体" w:eastAsia="宋体" w:cs="宋体"/>
        </w:rPr>
        <w:t>管理员列表</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管理员可以设置网店的管理员，并可对这些管理员的管理权限进行设置。</w:t>
      </w:r>
    </w:p>
    <w:p>
      <w:pPr>
        <w:pStyle w:val="13"/>
        <w:spacing w:before="0" w:after="0" w:line="360" w:lineRule="auto"/>
        <w:ind w:firstLine="480" w:firstLineChars="200"/>
        <w:rPr>
          <w:rFonts w:ascii="宋体" w:hAnsi="宋体" w:eastAsia="宋体" w:cs="宋体"/>
          <w:sz w:val="24"/>
        </w:rPr>
      </w:pPr>
      <w:r>
        <w:drawing>
          <wp:inline distT="0" distB="0" distL="114300" distR="114300">
            <wp:extent cx="4782185" cy="877570"/>
            <wp:effectExtent l="0" t="0" r="18415" b="17780"/>
            <wp:docPr id="5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1"/>
                    <pic:cNvPicPr>
                      <a:picLocks noChangeAspect="1"/>
                    </pic:cNvPicPr>
                  </pic:nvPicPr>
                  <pic:blipFill>
                    <a:blip r:embed="rId47"/>
                    <a:stretch>
                      <a:fillRect/>
                    </a:stretch>
                  </pic:blipFill>
                  <pic:spPr>
                    <a:xfrm>
                      <a:off x="0" y="0"/>
                      <a:ext cx="4782185" cy="877570"/>
                    </a:xfrm>
                    <a:prstGeom prst="rect">
                      <a:avLst/>
                    </a:prstGeom>
                    <a:noFill/>
                    <a:ln>
                      <a:noFill/>
                    </a:ln>
                  </pic:spPr>
                </pic:pic>
              </a:graphicData>
            </a:graphic>
          </wp:inline>
        </w:drawing>
      </w:r>
    </w:p>
    <w:p>
      <w:pPr>
        <w:numPr>
          <w:ilvl w:val="0"/>
          <w:numId w:val="22"/>
        </w:numPr>
        <w:bidi w:val="0"/>
        <w:rPr>
          <w:rFonts w:hint="eastAsia" w:ascii="宋体" w:hAnsi="宋体" w:eastAsia="宋体" w:cs="宋体"/>
        </w:rPr>
      </w:pPr>
      <w:r>
        <w:rPr>
          <w:rFonts w:hint="eastAsia" w:ascii="宋体" w:hAnsi="宋体" w:eastAsia="宋体" w:cs="宋体"/>
        </w:rPr>
        <w:t>管理员日志</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记录管理员后台操作记录。可在这里查看管理员操作日志，也可以勾选需要清除的管理员日志。</w:t>
      </w:r>
    </w:p>
    <w:p>
      <w:pPr>
        <w:pStyle w:val="13"/>
        <w:spacing w:before="0" w:after="0" w:line="360" w:lineRule="auto"/>
        <w:ind w:firstLine="480" w:firstLineChars="200"/>
        <w:jc w:val="center"/>
        <w:rPr>
          <w:rFonts w:ascii="宋体" w:hAnsi="宋体" w:eastAsia="宋体" w:cs="宋体"/>
          <w:sz w:val="24"/>
        </w:rPr>
      </w:pPr>
      <w:r>
        <w:drawing>
          <wp:inline distT="0" distB="0" distL="114300" distR="114300">
            <wp:extent cx="4661535" cy="1362710"/>
            <wp:effectExtent l="0" t="0" r="5715" b="8890"/>
            <wp:docPr id="5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2"/>
                    <pic:cNvPicPr>
                      <a:picLocks noChangeAspect="1"/>
                    </pic:cNvPicPr>
                  </pic:nvPicPr>
                  <pic:blipFill>
                    <a:blip r:embed="rId48"/>
                    <a:stretch>
                      <a:fillRect/>
                    </a:stretch>
                  </pic:blipFill>
                  <pic:spPr>
                    <a:xfrm>
                      <a:off x="0" y="0"/>
                      <a:ext cx="4661535" cy="1362710"/>
                    </a:xfrm>
                    <a:prstGeom prst="rect">
                      <a:avLst/>
                    </a:prstGeom>
                    <a:noFill/>
                    <a:ln>
                      <a:noFill/>
                    </a:ln>
                  </pic:spPr>
                </pic:pic>
              </a:graphicData>
            </a:graphic>
          </wp:inline>
        </w:drawing>
      </w:r>
    </w:p>
    <w:p>
      <w:pPr>
        <w:numPr>
          <w:ilvl w:val="0"/>
          <w:numId w:val="22"/>
        </w:numPr>
        <w:bidi w:val="0"/>
        <w:rPr>
          <w:rFonts w:hint="eastAsia" w:ascii="宋体" w:hAnsi="宋体" w:eastAsia="宋体" w:cs="宋体"/>
        </w:rPr>
      </w:pPr>
      <w:r>
        <w:rPr>
          <w:rFonts w:hint="eastAsia" w:ascii="宋体" w:hAnsi="宋体" w:eastAsia="宋体" w:cs="宋体"/>
        </w:rPr>
        <w:t>角色管理</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方便了后台管理员权限的设置，如设置一个角色为供货商，分配权限给查看发货单和查看退货单。</w:t>
      </w:r>
    </w:p>
    <w:p>
      <w:pPr>
        <w:pStyle w:val="13"/>
        <w:spacing w:before="0" w:after="0" w:line="360" w:lineRule="auto"/>
        <w:ind w:firstLine="480" w:firstLineChars="200"/>
        <w:jc w:val="center"/>
        <w:rPr>
          <w:rFonts w:ascii="宋体" w:hAnsi="宋体" w:eastAsia="宋体" w:cs="宋体"/>
          <w:sz w:val="24"/>
        </w:rPr>
      </w:pPr>
      <w:r>
        <w:drawing>
          <wp:inline distT="0" distB="0" distL="114300" distR="114300">
            <wp:extent cx="4740910" cy="1224915"/>
            <wp:effectExtent l="0" t="0" r="2540" b="13335"/>
            <wp:docPr id="5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0"/>
                    <pic:cNvPicPr>
                      <a:picLocks noChangeAspect="1"/>
                    </pic:cNvPicPr>
                  </pic:nvPicPr>
                  <pic:blipFill>
                    <a:blip r:embed="rId49"/>
                    <a:stretch>
                      <a:fillRect/>
                    </a:stretch>
                  </pic:blipFill>
                  <pic:spPr>
                    <a:xfrm>
                      <a:off x="0" y="0"/>
                      <a:ext cx="4740910" cy="1224915"/>
                    </a:xfrm>
                    <a:prstGeom prst="rect">
                      <a:avLst/>
                    </a:prstGeom>
                    <a:noFill/>
                    <a:ln>
                      <a:noFill/>
                    </a:ln>
                  </pic:spPr>
                </pic:pic>
              </a:graphicData>
            </a:graphic>
          </wp:inline>
        </w:drawing>
      </w:r>
    </w:p>
    <w:p>
      <w:pPr>
        <w:numPr>
          <w:ilvl w:val="0"/>
          <w:numId w:val="22"/>
        </w:numPr>
        <w:bidi w:val="0"/>
        <w:rPr>
          <w:rFonts w:hint="eastAsia" w:ascii="宋体" w:hAnsi="宋体" w:eastAsia="宋体" w:cs="宋体"/>
        </w:rPr>
      </w:pPr>
      <w:r>
        <w:rPr>
          <w:rFonts w:hint="eastAsia" w:ascii="宋体" w:hAnsi="宋体" w:eastAsia="宋体" w:cs="宋体"/>
        </w:rPr>
        <w:t>供应商列表</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管理员可以添加供货商，供货商的具体体现在添加新商品的时候会有选择供货商。</w:t>
      </w:r>
    </w:p>
    <w:p>
      <w:pPr>
        <w:numPr>
          <w:ilvl w:val="0"/>
          <w:numId w:val="22"/>
        </w:numPr>
        <w:bidi w:val="0"/>
        <w:rPr>
          <w:rFonts w:hint="eastAsia" w:ascii="宋体" w:hAnsi="宋体" w:eastAsia="宋体" w:cs="宋体"/>
        </w:rPr>
      </w:pPr>
      <w:r>
        <w:rPr>
          <w:rFonts w:hint="eastAsia" w:ascii="宋体" w:hAnsi="宋体" w:eastAsia="宋体" w:cs="宋体"/>
        </w:rPr>
        <w:t>运维管理</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异常日志管理，接口和操作的日志管理、异常日志管理</w:t>
      </w:r>
    </w:p>
    <w:p>
      <w:pPr>
        <w:pStyle w:val="7"/>
        <w:bidi w:val="0"/>
        <w:rPr>
          <w:rFonts w:hint="eastAsia"/>
          <w:lang w:val="en-US" w:eastAsia="zh-CN"/>
        </w:rPr>
      </w:pPr>
      <w:r>
        <w:rPr>
          <w:rFonts w:hint="eastAsia"/>
          <w:lang w:val="en-US" w:eastAsia="zh-CN"/>
        </w:rPr>
        <w:t>消息中心</w:t>
      </w:r>
    </w:p>
    <w:p>
      <w:pPr>
        <w:numPr>
          <w:ilvl w:val="0"/>
          <w:numId w:val="23"/>
        </w:numPr>
        <w:bidi w:val="0"/>
        <w:rPr>
          <w:rFonts w:hint="eastAsia" w:ascii="宋体" w:hAnsi="宋体" w:eastAsia="宋体" w:cs="宋体"/>
        </w:rPr>
      </w:pPr>
      <w:r>
        <w:rPr>
          <w:rFonts w:hint="eastAsia" w:ascii="宋体" w:hAnsi="宋体" w:eastAsia="宋体" w:cs="宋体"/>
        </w:rPr>
        <w:t>短信验证</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先注册短信服务并正确配置短信服务方可使用。</w:t>
      </w:r>
    </w:p>
    <w:p>
      <w:pPr>
        <w:numPr>
          <w:ilvl w:val="0"/>
          <w:numId w:val="23"/>
        </w:numPr>
        <w:bidi w:val="0"/>
        <w:rPr>
          <w:rFonts w:hint="eastAsia" w:ascii="宋体" w:hAnsi="宋体" w:eastAsia="宋体" w:cs="宋体"/>
        </w:rPr>
      </w:pPr>
      <w:r>
        <w:rPr>
          <w:rFonts w:hint="eastAsia" w:ascii="宋体" w:hAnsi="宋体" w:eastAsia="宋体" w:cs="宋体"/>
        </w:rPr>
        <w:t>关注管理</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用户对商品进行关注后，在此模块管理员可以看到哪些商品受到用户的关注，可以清楚的了解到那款商品信息的更新日期。</w:t>
      </w:r>
    </w:p>
    <w:p>
      <w:pPr>
        <w:numPr>
          <w:ilvl w:val="0"/>
          <w:numId w:val="23"/>
        </w:numPr>
        <w:bidi w:val="0"/>
        <w:rPr>
          <w:rFonts w:hint="eastAsia" w:ascii="宋体" w:hAnsi="宋体" w:eastAsia="宋体" w:cs="宋体"/>
        </w:rPr>
      </w:pPr>
      <w:r>
        <w:rPr>
          <w:rFonts w:hint="eastAsia" w:ascii="宋体" w:hAnsi="宋体" w:eastAsia="宋体" w:cs="宋体"/>
        </w:rPr>
        <w:t>杂志管理</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管理员可以添加新杂志，自定义杂志标题和内容。</w:t>
      </w:r>
    </w:p>
    <w:p>
      <w:pPr>
        <w:pStyle w:val="7"/>
        <w:bidi w:val="0"/>
        <w:rPr>
          <w:rFonts w:hint="eastAsia"/>
          <w:lang w:val="en-US" w:eastAsia="zh-CN"/>
        </w:rPr>
      </w:pPr>
      <w:r>
        <w:rPr>
          <w:rFonts w:hint="eastAsia"/>
          <w:lang w:val="en-US" w:eastAsia="zh-CN"/>
        </w:rPr>
        <w:t>数据库管理</w:t>
      </w:r>
    </w:p>
    <w:p>
      <w:pPr>
        <w:numPr>
          <w:ilvl w:val="0"/>
          <w:numId w:val="24"/>
        </w:numPr>
        <w:bidi w:val="0"/>
        <w:rPr>
          <w:rFonts w:hint="eastAsia" w:ascii="宋体" w:hAnsi="宋体" w:eastAsia="宋体" w:cs="宋体"/>
        </w:rPr>
      </w:pPr>
      <w:r>
        <w:rPr>
          <w:rFonts w:hint="eastAsia" w:ascii="宋体" w:hAnsi="宋体" w:eastAsia="宋体" w:cs="宋体"/>
        </w:rPr>
        <w:t>数据备份</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管理员可以自定义备份类型，有选择性的进行备份，也可以恢复备份数据。</w:t>
      </w:r>
    </w:p>
    <w:p>
      <w:pPr>
        <w:numPr>
          <w:ilvl w:val="0"/>
          <w:numId w:val="24"/>
        </w:numPr>
        <w:bidi w:val="0"/>
        <w:rPr>
          <w:rFonts w:hint="eastAsia" w:ascii="宋体" w:hAnsi="宋体" w:eastAsia="宋体" w:cs="宋体"/>
        </w:rPr>
      </w:pPr>
      <w:r>
        <w:rPr>
          <w:rFonts w:hint="eastAsia" w:ascii="宋体" w:hAnsi="宋体" w:eastAsia="宋体" w:cs="宋体"/>
        </w:rPr>
        <w:t>数据表优化</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管理员可以进行数据表优化。系统运行一段时间之后，数据库会产生一些碎片，经常优化数据库，可以提高</w:t>
      </w:r>
      <w:r>
        <w:rPr>
          <w:rFonts w:ascii="宋体" w:hAnsi="宋体" w:eastAsia="宋体" w:cs="宋体"/>
          <w:sz w:val="24"/>
        </w:rPr>
        <w:t>mysql的效率。</w:t>
      </w:r>
    </w:p>
    <w:p>
      <w:pPr>
        <w:numPr>
          <w:ilvl w:val="0"/>
          <w:numId w:val="24"/>
        </w:numPr>
        <w:bidi w:val="0"/>
        <w:rPr>
          <w:rFonts w:hint="eastAsia" w:ascii="宋体" w:hAnsi="宋体" w:eastAsia="宋体" w:cs="宋体"/>
        </w:rPr>
      </w:pPr>
      <w:r>
        <w:rPr>
          <w:rFonts w:hint="eastAsia" w:ascii="宋体" w:hAnsi="宋体" w:eastAsia="宋体" w:cs="宋体"/>
        </w:rPr>
        <w:t>SQL查询</w:t>
      </w:r>
    </w:p>
    <w:p>
      <w:pPr>
        <w:pStyle w:val="13"/>
        <w:spacing w:before="0" w:after="0" w:line="360" w:lineRule="auto"/>
        <w:ind w:firstLineChars="200"/>
        <w:rPr>
          <w:rFonts w:ascii="宋体" w:hAnsi="宋体" w:eastAsia="宋体" w:cs="宋体"/>
          <w:sz w:val="24"/>
        </w:rPr>
      </w:pPr>
      <w:r>
        <w:rPr>
          <w:rFonts w:ascii="宋体" w:hAnsi="宋体" w:eastAsia="宋体" w:cs="宋体"/>
          <w:sz w:val="24"/>
        </w:rPr>
        <w:t>Sql查询的功能，可以方便用sql语句直接操作数据库。直接把要运行的语句贴进文本框，执行提交即可。</w:t>
      </w:r>
    </w:p>
    <w:p>
      <w:pPr>
        <w:pStyle w:val="7"/>
        <w:bidi w:val="0"/>
        <w:rPr>
          <w:rFonts w:hint="eastAsia"/>
          <w:lang w:val="en-US" w:eastAsia="zh-CN"/>
        </w:rPr>
      </w:pPr>
      <w:r>
        <w:rPr>
          <w:rFonts w:hint="eastAsia"/>
          <w:lang w:val="en-US" w:eastAsia="zh-CN"/>
        </w:rPr>
        <w:t>购物车管理</w:t>
      </w:r>
    </w:p>
    <w:p>
      <w:pPr>
        <w:numPr>
          <w:ilvl w:val="0"/>
          <w:numId w:val="25"/>
        </w:numPr>
        <w:bidi w:val="0"/>
        <w:rPr>
          <w:rFonts w:ascii="宋体" w:hAnsi="宋体" w:eastAsia="宋体" w:cs="宋体"/>
        </w:rPr>
      </w:pPr>
      <w:r>
        <w:rPr>
          <w:rFonts w:hint="eastAsia" w:ascii="宋体" w:hAnsi="宋体" w:eastAsia="宋体" w:cs="宋体"/>
          <w:bCs w:val="0"/>
          <w:kern w:val="2"/>
          <w:sz w:val="24"/>
          <w:lang w:val="en-US" w:eastAsia="zh-CN" w:bidi="ar-SA"/>
        </w:rPr>
        <w:t>购物车</w:t>
      </w:r>
      <w:r>
        <w:rPr>
          <w:rFonts w:hint="eastAsia" w:ascii="宋体" w:hAnsi="宋体" w:eastAsia="宋体" w:cs="宋体"/>
          <w:lang w:val="en-US" w:eastAsia="zh-CN"/>
        </w:rPr>
        <w:t>列表</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用户在商城将商品加入购物车。</w:t>
      </w:r>
    </w:p>
    <w:p>
      <w:pPr>
        <w:pStyle w:val="13"/>
        <w:spacing w:before="0" w:after="0" w:line="360" w:lineRule="auto"/>
        <w:ind w:left="0" w:leftChars="0" w:firstLine="0" w:firstLineChars="0"/>
        <w:jc w:val="center"/>
        <w:rPr>
          <w:rFonts w:ascii="宋体" w:hAnsi="宋体" w:eastAsia="宋体" w:cs="宋体"/>
          <w:sz w:val="24"/>
        </w:rPr>
      </w:pPr>
      <w:r>
        <w:drawing>
          <wp:inline distT="0" distB="0" distL="0" distR="0">
            <wp:extent cx="4789170" cy="2932430"/>
            <wp:effectExtent l="0" t="0" r="11430" b="1270"/>
            <wp:docPr id="18" name="图片 1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10;&#10;描述已自动生成"/>
                    <pic:cNvPicPr>
                      <a:picLocks noChangeAspect="1"/>
                    </pic:cNvPicPr>
                  </pic:nvPicPr>
                  <pic:blipFill>
                    <a:blip r:embed="rId50"/>
                    <a:stretch>
                      <a:fillRect/>
                    </a:stretch>
                  </pic:blipFill>
                  <pic:spPr>
                    <a:xfrm>
                      <a:off x="0" y="0"/>
                      <a:ext cx="4789170" cy="2932430"/>
                    </a:xfrm>
                    <a:prstGeom prst="rect">
                      <a:avLst/>
                    </a:prstGeom>
                  </pic:spPr>
                </pic:pic>
              </a:graphicData>
            </a:graphic>
          </wp:inline>
        </w:drawing>
      </w:r>
    </w:p>
    <w:p>
      <w:pPr>
        <w:numPr>
          <w:ilvl w:val="0"/>
          <w:numId w:val="25"/>
        </w:numPr>
        <w:bidi w:val="0"/>
        <w:rPr>
          <w:rFonts w:hint="eastAsia" w:ascii="宋体" w:hAnsi="宋体" w:eastAsia="宋体" w:cs="宋体"/>
          <w:bCs w:val="0"/>
          <w:kern w:val="2"/>
          <w:sz w:val="24"/>
          <w:lang w:val="en-US" w:eastAsia="zh-CN" w:bidi="ar-SA"/>
        </w:rPr>
      </w:pPr>
      <w:r>
        <w:rPr>
          <w:rFonts w:hint="eastAsia" w:ascii="宋体" w:hAnsi="宋体" w:eastAsia="宋体" w:cs="宋体"/>
          <w:bCs w:val="0"/>
          <w:kern w:val="2"/>
          <w:sz w:val="24"/>
          <w:lang w:val="en-US" w:eastAsia="zh-CN" w:bidi="ar-SA"/>
        </w:rPr>
        <w:t>购物车下单</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购物车进行批量下单购买。</w:t>
      </w:r>
    </w:p>
    <w:p>
      <w:pPr>
        <w:pStyle w:val="13"/>
        <w:spacing w:before="0" w:after="0" w:line="360" w:lineRule="auto"/>
        <w:ind w:left="0" w:leftChars="0" w:firstLine="0" w:firstLineChars="0"/>
        <w:jc w:val="center"/>
        <w:rPr>
          <w:rFonts w:ascii="宋体" w:hAnsi="宋体" w:eastAsia="宋体" w:cs="宋体"/>
          <w:sz w:val="24"/>
        </w:rPr>
      </w:pPr>
      <w:r>
        <w:drawing>
          <wp:inline distT="0" distB="0" distL="0" distR="0">
            <wp:extent cx="4973320" cy="3683635"/>
            <wp:effectExtent l="0" t="0" r="17780" b="12065"/>
            <wp:docPr id="19" name="图片 19"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应用程序, 网站&#10;&#10;描述已自动生成"/>
                    <pic:cNvPicPr>
                      <a:picLocks noChangeAspect="1"/>
                    </pic:cNvPicPr>
                  </pic:nvPicPr>
                  <pic:blipFill>
                    <a:blip r:embed="rId51"/>
                    <a:stretch>
                      <a:fillRect/>
                    </a:stretch>
                  </pic:blipFill>
                  <pic:spPr>
                    <a:xfrm>
                      <a:off x="0" y="0"/>
                      <a:ext cx="4973320" cy="3683635"/>
                    </a:xfrm>
                    <a:prstGeom prst="rect">
                      <a:avLst/>
                    </a:prstGeom>
                  </pic:spPr>
                </pic:pic>
              </a:graphicData>
            </a:graphic>
          </wp:inline>
        </w:drawing>
      </w:r>
    </w:p>
    <w:p>
      <w:pPr>
        <w:pStyle w:val="7"/>
        <w:bidi w:val="0"/>
        <w:rPr>
          <w:rFonts w:hint="eastAsia"/>
          <w:lang w:val="en-US" w:eastAsia="zh-CN"/>
        </w:rPr>
      </w:pPr>
      <w:r>
        <w:rPr>
          <w:rFonts w:hint="eastAsia"/>
          <w:lang w:val="en-US" w:eastAsia="zh-CN"/>
        </w:rPr>
        <w:t>模板管理</w:t>
      </w:r>
    </w:p>
    <w:p>
      <w:pPr>
        <w:numPr>
          <w:ilvl w:val="0"/>
          <w:numId w:val="26"/>
        </w:numPr>
        <w:bidi w:val="0"/>
        <w:rPr>
          <w:rFonts w:hint="eastAsia" w:ascii="宋体" w:hAnsi="宋体" w:eastAsia="宋体" w:cs="宋体"/>
          <w:bCs w:val="0"/>
          <w:kern w:val="2"/>
          <w:sz w:val="24"/>
          <w:lang w:val="en-US" w:eastAsia="zh-CN" w:bidi="ar-SA"/>
        </w:rPr>
      </w:pPr>
      <w:r>
        <w:rPr>
          <w:rFonts w:hint="eastAsia" w:ascii="宋体" w:hAnsi="宋体" w:eastAsia="宋体" w:cs="宋体"/>
          <w:bCs w:val="0"/>
          <w:kern w:val="2"/>
          <w:sz w:val="24"/>
          <w:lang w:val="en-US" w:eastAsia="zh-CN" w:bidi="ar-SA"/>
        </w:rPr>
        <w:t>模板选择</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后台支持多套模板存放，管理员可任意切换商城模板，一键轻松改变商城风格。</w:t>
      </w:r>
    </w:p>
    <w:p>
      <w:pPr>
        <w:pStyle w:val="13"/>
        <w:spacing w:before="0" w:after="0" w:line="360" w:lineRule="auto"/>
        <w:ind w:firstLine="480" w:firstLineChars="200"/>
        <w:rPr>
          <w:rFonts w:ascii="宋体" w:hAnsi="宋体" w:eastAsia="宋体" w:cs="宋体"/>
          <w:sz w:val="24"/>
        </w:rPr>
      </w:pPr>
      <w:r>
        <w:drawing>
          <wp:inline distT="0" distB="0" distL="114300" distR="114300">
            <wp:extent cx="4872990" cy="2695575"/>
            <wp:effectExtent l="0" t="0" r="3810" b="9525"/>
            <wp:docPr id="5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5"/>
                    <pic:cNvPicPr>
                      <a:picLocks noChangeAspect="1"/>
                    </pic:cNvPicPr>
                  </pic:nvPicPr>
                  <pic:blipFill>
                    <a:blip r:embed="rId52"/>
                    <a:stretch>
                      <a:fillRect/>
                    </a:stretch>
                  </pic:blipFill>
                  <pic:spPr>
                    <a:xfrm>
                      <a:off x="0" y="0"/>
                      <a:ext cx="4872990" cy="2695575"/>
                    </a:xfrm>
                    <a:prstGeom prst="rect">
                      <a:avLst/>
                    </a:prstGeom>
                    <a:noFill/>
                    <a:ln>
                      <a:noFill/>
                    </a:ln>
                  </pic:spPr>
                </pic:pic>
              </a:graphicData>
            </a:graphic>
          </wp:inline>
        </w:drawing>
      </w:r>
    </w:p>
    <w:p>
      <w:pPr>
        <w:numPr>
          <w:ilvl w:val="0"/>
          <w:numId w:val="26"/>
        </w:numPr>
        <w:bidi w:val="0"/>
        <w:rPr>
          <w:rFonts w:hint="eastAsia" w:ascii="宋体" w:hAnsi="宋体" w:eastAsia="宋体" w:cs="宋体"/>
          <w:bCs w:val="0"/>
          <w:kern w:val="2"/>
          <w:sz w:val="24"/>
          <w:lang w:val="en-US" w:eastAsia="zh-CN" w:bidi="ar-SA"/>
        </w:rPr>
      </w:pPr>
      <w:r>
        <w:rPr>
          <w:rFonts w:hint="eastAsia" w:ascii="宋体" w:hAnsi="宋体" w:eastAsia="宋体" w:cs="宋体"/>
          <w:bCs w:val="0"/>
          <w:kern w:val="2"/>
          <w:sz w:val="24"/>
          <w:lang w:val="en-US" w:eastAsia="zh-CN" w:bidi="ar-SA"/>
        </w:rPr>
        <w:t>模板设置</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管理员可以设置页面各个模块的显示位置，可以在后台根据自己的要求调整模板模块的显示位置。</w:t>
      </w:r>
    </w:p>
    <w:p>
      <w:pPr>
        <w:numPr>
          <w:ilvl w:val="0"/>
          <w:numId w:val="26"/>
        </w:numPr>
        <w:bidi w:val="0"/>
        <w:rPr>
          <w:rFonts w:hint="eastAsia" w:ascii="宋体" w:hAnsi="宋体" w:eastAsia="宋体" w:cs="宋体"/>
          <w:bCs w:val="0"/>
          <w:kern w:val="2"/>
          <w:sz w:val="24"/>
          <w:lang w:val="en-US" w:eastAsia="zh-CN" w:bidi="ar-SA"/>
        </w:rPr>
      </w:pPr>
      <w:r>
        <w:rPr>
          <w:rFonts w:hint="eastAsia" w:ascii="宋体" w:hAnsi="宋体" w:eastAsia="宋体" w:cs="宋体"/>
          <w:bCs w:val="0"/>
          <w:kern w:val="2"/>
          <w:sz w:val="24"/>
          <w:lang w:val="en-US" w:eastAsia="zh-CN" w:bidi="ar-SA"/>
        </w:rPr>
        <w:t>库项目管理</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管理员可以编辑每一个模块的样式，通过下拉菜单轻松的选择您需要修改的模块，修改完后确定提交即可生效。</w:t>
      </w:r>
    </w:p>
    <w:p>
      <w:pPr>
        <w:numPr>
          <w:ilvl w:val="0"/>
          <w:numId w:val="26"/>
        </w:numPr>
        <w:bidi w:val="0"/>
        <w:rPr>
          <w:rFonts w:hint="eastAsia" w:ascii="宋体" w:hAnsi="宋体" w:eastAsia="宋体" w:cs="宋体"/>
          <w:bCs w:val="0"/>
          <w:kern w:val="2"/>
          <w:sz w:val="24"/>
          <w:lang w:val="en-US" w:eastAsia="zh-CN" w:bidi="ar-SA"/>
        </w:rPr>
      </w:pPr>
      <w:r>
        <w:rPr>
          <w:rFonts w:hint="eastAsia" w:ascii="宋体" w:hAnsi="宋体" w:eastAsia="宋体" w:cs="宋体"/>
          <w:bCs w:val="0"/>
          <w:kern w:val="2"/>
          <w:sz w:val="24"/>
          <w:lang w:val="en-US" w:eastAsia="zh-CN" w:bidi="ar-SA"/>
        </w:rPr>
        <w:t>语言项编辑</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修改商城中的某些碎片文件，如欢迎语、提示信息等。</w:t>
      </w:r>
    </w:p>
    <w:p>
      <w:pPr>
        <w:numPr>
          <w:ilvl w:val="0"/>
          <w:numId w:val="26"/>
        </w:numPr>
        <w:bidi w:val="0"/>
        <w:rPr>
          <w:rFonts w:ascii="宋体" w:hAnsi="宋体" w:eastAsia="宋体" w:cs="宋体"/>
        </w:rPr>
      </w:pPr>
      <w:r>
        <w:rPr>
          <w:rFonts w:hint="eastAsia" w:ascii="宋体" w:hAnsi="宋体" w:eastAsia="宋体" w:cs="宋体"/>
        </w:rPr>
        <w:t>模板</w:t>
      </w:r>
      <w:r>
        <w:rPr>
          <w:rFonts w:hint="eastAsia" w:ascii="宋体" w:hAnsi="宋体" w:eastAsia="宋体" w:cs="宋体"/>
          <w:bCs w:val="0"/>
          <w:kern w:val="2"/>
          <w:sz w:val="24"/>
          <w:lang w:val="en-US" w:eastAsia="zh-CN" w:bidi="ar-SA"/>
        </w:rPr>
        <w:t>设置</w:t>
      </w:r>
      <w:r>
        <w:rPr>
          <w:rFonts w:hint="eastAsia" w:ascii="宋体" w:hAnsi="宋体" w:eastAsia="宋体" w:cs="宋体"/>
        </w:rPr>
        <w:t>备份</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管理员可看到备份模版设置的选项，此功能主要用来备份和还原自定义模板。</w:t>
      </w:r>
    </w:p>
    <w:p>
      <w:pPr>
        <w:pStyle w:val="7"/>
        <w:bidi w:val="0"/>
        <w:rPr>
          <w:rFonts w:hint="eastAsia"/>
          <w:lang w:val="en-US" w:eastAsia="zh-CN"/>
        </w:rPr>
      </w:pPr>
      <w:r>
        <w:rPr>
          <w:rFonts w:hint="eastAsia"/>
          <w:lang w:val="en-US" w:eastAsia="zh-CN"/>
        </w:rPr>
        <w:t>标准IM客服</w:t>
      </w:r>
    </w:p>
    <w:p>
      <w:pPr>
        <w:numPr>
          <w:ilvl w:val="0"/>
          <w:numId w:val="27"/>
        </w:numPr>
        <w:bidi w:val="0"/>
        <w:rPr>
          <w:rFonts w:hint="eastAsia" w:ascii="宋体" w:hAnsi="宋体" w:eastAsia="宋体" w:cs="宋体"/>
        </w:rPr>
      </w:pPr>
      <w:r>
        <w:rPr>
          <w:rFonts w:hint="eastAsia" w:ascii="宋体" w:hAnsi="宋体" w:eastAsia="宋体" w:cs="宋体"/>
        </w:rPr>
        <w:t>在线模式</w:t>
      </w:r>
    </w:p>
    <w:p>
      <w:pPr>
        <w:bidi w:val="0"/>
      </w:pPr>
      <w:r>
        <w:rPr>
          <w:rFonts w:hint="eastAsia"/>
        </w:rPr>
        <w:t>可通过</w:t>
      </w:r>
      <w:r>
        <w:t>IM客服模块，完成即时文字和语音交互</w:t>
      </w:r>
      <w:r>
        <w:rPr>
          <w:rFonts w:hint="eastAsia"/>
        </w:rPr>
        <w:t>。</w:t>
      </w:r>
    </w:p>
    <w:p>
      <w:pPr>
        <w:numPr>
          <w:ilvl w:val="0"/>
          <w:numId w:val="27"/>
        </w:numPr>
        <w:bidi w:val="0"/>
        <w:rPr>
          <w:rFonts w:hint="eastAsia" w:ascii="宋体" w:hAnsi="宋体" w:eastAsia="宋体" w:cs="宋体"/>
        </w:rPr>
      </w:pPr>
      <w:r>
        <w:rPr>
          <w:rFonts w:hint="eastAsia" w:ascii="宋体" w:hAnsi="宋体" w:eastAsia="宋体" w:cs="宋体"/>
        </w:rPr>
        <w:t>机器人模式</w:t>
      </w:r>
    </w:p>
    <w:p>
      <w:pPr>
        <w:pStyle w:val="13"/>
        <w:spacing w:before="0" w:after="0" w:line="360" w:lineRule="auto"/>
        <w:ind w:firstLineChars="200"/>
        <w:rPr>
          <w:rFonts w:ascii="宋体" w:hAnsi="宋体" w:eastAsia="宋体" w:cs="宋体"/>
          <w:sz w:val="24"/>
        </w:rPr>
      </w:pPr>
      <w:r>
        <w:rPr>
          <w:rFonts w:hint="eastAsia" w:ascii="宋体" w:hAnsi="宋体" w:eastAsia="宋体" w:cs="宋体"/>
          <w:sz w:val="24"/>
        </w:rPr>
        <w:t>可通过预设话术和智能语音识别功能，自动回复客户信息</w:t>
      </w:r>
    </w:p>
    <w:p>
      <w:pPr>
        <w:pStyle w:val="7"/>
        <w:bidi w:val="0"/>
        <w:rPr>
          <w:rFonts w:hint="eastAsia"/>
          <w:lang w:val="en-US" w:eastAsia="zh-CN"/>
        </w:rPr>
      </w:pPr>
      <w:r>
        <w:rPr>
          <w:rFonts w:hint="eastAsia"/>
          <w:lang w:val="en-US" w:eastAsia="zh-CN"/>
        </w:rPr>
        <w:t>移动端支持</w:t>
      </w:r>
    </w:p>
    <w:p>
      <w:pPr>
        <w:pStyle w:val="13"/>
        <w:spacing w:before="0" w:after="0" w:line="360" w:lineRule="auto"/>
        <w:ind w:left="0" w:firstLineChars="200"/>
        <w:rPr>
          <w:rFonts w:ascii="宋体" w:hAnsi="宋体" w:eastAsia="宋体" w:cs="宋体"/>
          <w:sz w:val="24"/>
        </w:rPr>
      </w:pPr>
      <w:r>
        <w:rPr>
          <w:rFonts w:hint="eastAsia" w:ascii="宋体" w:hAnsi="宋体" w:eastAsia="宋体" w:cs="宋体"/>
          <w:sz w:val="24"/>
        </w:rPr>
        <w:t>微信小程序端用户</w:t>
      </w:r>
      <w:r>
        <w:rPr>
          <w:rFonts w:ascii="宋体" w:hAnsi="宋体" w:eastAsia="宋体" w:cs="宋体"/>
          <w:sz w:val="24"/>
        </w:rPr>
        <w:t>UI设计</w:t>
      </w:r>
      <w:r>
        <w:rPr>
          <w:rFonts w:hint="eastAsia" w:ascii="宋体" w:hAnsi="宋体" w:eastAsia="宋体" w:cs="宋体"/>
          <w:sz w:val="24"/>
        </w:rPr>
        <w:t>。</w:t>
      </w:r>
    </w:p>
    <w:p>
      <w:pPr>
        <w:pStyle w:val="6"/>
        <w:bidi w:val="0"/>
        <w:rPr>
          <w:rFonts w:hint="eastAsia"/>
          <w:lang w:val="en-US" w:eastAsia="zh-CN"/>
        </w:rPr>
      </w:pPr>
      <w:r>
        <w:rPr>
          <w:rFonts w:hint="eastAsia"/>
          <w:lang w:val="en-US" w:eastAsia="zh-CN"/>
        </w:rPr>
        <w:t>平台对接服务</w:t>
      </w:r>
    </w:p>
    <w:p>
      <w:pPr>
        <w:pStyle w:val="7"/>
        <w:bidi w:val="0"/>
        <w:rPr>
          <w:rFonts w:hint="eastAsia"/>
          <w:lang w:val="en-US" w:eastAsia="zh-CN"/>
        </w:rPr>
      </w:pPr>
      <w:r>
        <w:rPr>
          <w:rFonts w:hint="eastAsia"/>
          <w:lang w:val="en-US" w:eastAsia="zh-CN"/>
        </w:rPr>
        <w:t>与支付平台对接</w:t>
      </w:r>
    </w:p>
    <w:p>
      <w:pPr>
        <w:bidi w:val="0"/>
        <w:rPr>
          <w:rFonts w:hint="eastAsia"/>
          <w:lang w:val="en-US" w:eastAsia="zh-CN"/>
        </w:rPr>
      </w:pPr>
      <w:r>
        <w:rPr>
          <w:rFonts w:hint="eastAsia"/>
          <w:lang w:val="en-US" w:eastAsia="zh-CN"/>
        </w:rPr>
        <w:t>1）微信支付</w:t>
      </w:r>
    </w:p>
    <w:p>
      <w:pPr>
        <w:bidi w:val="0"/>
      </w:pPr>
      <w:r>
        <w:rPr>
          <w:rFonts w:hint="eastAsia"/>
        </w:rPr>
        <w:t>对接微信支付平台。</w:t>
      </w:r>
    </w:p>
    <w:p>
      <w:pPr>
        <w:bidi w:val="0"/>
      </w:pPr>
      <w:r>
        <w:rPr>
          <w:rFonts w:hint="eastAsia"/>
          <w:lang w:val="en-US" w:eastAsia="zh-CN"/>
        </w:rPr>
        <w:t>2）</w:t>
      </w:r>
      <w:r>
        <w:rPr>
          <w:rFonts w:hint="eastAsia"/>
        </w:rPr>
        <w:t>支付宝支付</w:t>
      </w:r>
    </w:p>
    <w:p>
      <w:pPr>
        <w:bidi w:val="0"/>
      </w:pPr>
      <w:r>
        <w:rPr>
          <w:rFonts w:hint="eastAsia"/>
        </w:rPr>
        <w:t>对接支付宝支付平台。</w:t>
      </w:r>
    </w:p>
    <w:p>
      <w:pPr>
        <w:bidi w:val="0"/>
      </w:pPr>
      <w:r>
        <w:rPr>
          <w:rFonts w:hint="eastAsia"/>
          <w:lang w:val="en-US" w:eastAsia="zh-CN"/>
        </w:rPr>
        <w:t>3）云闪付</w:t>
      </w:r>
      <w:r>
        <w:rPr>
          <w:rFonts w:hint="eastAsia"/>
        </w:rPr>
        <w:t>支付</w:t>
      </w:r>
    </w:p>
    <w:p>
      <w:pPr>
        <w:bidi w:val="0"/>
        <w:rPr>
          <w:rFonts w:hint="eastAsia"/>
        </w:rPr>
      </w:pPr>
      <w:r>
        <w:rPr>
          <w:rFonts w:hint="eastAsia"/>
        </w:rPr>
        <w:t>对接</w:t>
      </w:r>
      <w:r>
        <w:rPr>
          <w:rFonts w:hint="eastAsia"/>
          <w:lang w:val="en-US" w:eastAsia="zh-CN"/>
        </w:rPr>
        <w:t>云闪付</w:t>
      </w:r>
      <w:r>
        <w:rPr>
          <w:rFonts w:hint="eastAsia"/>
        </w:rPr>
        <w:t>支付平台。</w:t>
      </w:r>
    </w:p>
    <w:p>
      <w:pPr>
        <w:bidi w:val="0"/>
        <w:rPr>
          <w:rFonts w:hint="default"/>
          <w:lang w:val="en-US" w:eastAsia="zh-CN"/>
        </w:rPr>
      </w:pPr>
      <w:r>
        <w:rPr>
          <w:rFonts w:hint="eastAsia"/>
          <w:lang w:val="en-US" w:eastAsia="zh-CN"/>
        </w:rPr>
        <w:t>上述支付平台经咨询与确认，均可与本期建设系统实现对接。</w:t>
      </w:r>
    </w:p>
    <w:p>
      <w:pPr>
        <w:pStyle w:val="7"/>
        <w:bidi w:val="0"/>
        <w:rPr>
          <w:rFonts w:hint="eastAsia"/>
          <w:lang w:val="en-US" w:eastAsia="zh-CN"/>
        </w:rPr>
      </w:pPr>
      <w:r>
        <w:rPr>
          <w:rFonts w:hint="eastAsia"/>
          <w:lang w:val="en-US" w:eastAsia="zh-CN"/>
        </w:rPr>
        <w:t>与物流平台的数据对接</w:t>
      </w:r>
    </w:p>
    <w:p>
      <w:pPr>
        <w:bidi w:val="0"/>
      </w:pPr>
      <w:r>
        <w:rPr>
          <w:rFonts w:hint="eastAsia"/>
          <w:lang w:val="en-US" w:eastAsia="zh-CN"/>
        </w:rPr>
        <w:t>1）</w:t>
      </w:r>
      <w:r>
        <w:rPr>
          <w:rFonts w:hint="eastAsia"/>
        </w:rPr>
        <w:t>快递</w:t>
      </w:r>
      <w:r>
        <w:t>100</w:t>
      </w:r>
      <w:r>
        <w:rPr>
          <w:rFonts w:hint="eastAsia"/>
        </w:rPr>
        <w:t>平台</w:t>
      </w:r>
    </w:p>
    <w:p>
      <w:pPr>
        <w:bidi w:val="0"/>
      </w:pPr>
      <w:r>
        <w:rPr>
          <w:rFonts w:hint="eastAsia"/>
        </w:rPr>
        <w:t>对接快递100</w:t>
      </w:r>
      <w:r>
        <w:t>平台的物流信息</w:t>
      </w:r>
      <w:r>
        <w:rPr>
          <w:rFonts w:hint="eastAsia"/>
        </w:rPr>
        <w:t>。</w:t>
      </w:r>
    </w:p>
    <w:p>
      <w:pPr>
        <w:bidi w:val="0"/>
        <w:rPr>
          <w:rFonts w:hint="eastAsia"/>
          <w:lang w:val="en-US" w:eastAsia="zh-CN"/>
        </w:rPr>
      </w:pPr>
      <w:r>
        <w:rPr>
          <w:rFonts w:hint="eastAsia"/>
          <w:lang w:val="en-US" w:eastAsia="zh-CN"/>
        </w:rPr>
        <w:t>2）京东同城配送平台</w:t>
      </w:r>
    </w:p>
    <w:p>
      <w:pPr>
        <w:bidi w:val="0"/>
      </w:pPr>
      <w:r>
        <w:rPr>
          <w:rFonts w:hint="eastAsia"/>
        </w:rPr>
        <w:t>对接京东同城配送平台的物流信息。</w:t>
      </w:r>
    </w:p>
    <w:p>
      <w:pPr>
        <w:bidi w:val="0"/>
        <w:rPr>
          <w:rFonts w:hint="eastAsia"/>
          <w:lang w:val="en-US" w:eastAsia="zh-CN"/>
        </w:rPr>
      </w:pPr>
      <w:r>
        <w:rPr>
          <w:rFonts w:hint="eastAsia"/>
          <w:lang w:val="en-US" w:eastAsia="zh-CN"/>
        </w:rPr>
        <w:t>3）顺丰同城配送</w:t>
      </w:r>
    </w:p>
    <w:p>
      <w:pPr>
        <w:bidi w:val="0"/>
      </w:pPr>
      <w:r>
        <w:rPr>
          <w:rFonts w:hint="eastAsia"/>
        </w:rPr>
        <w:t>对接顺丰同城配送的物流信息。</w:t>
      </w:r>
    </w:p>
    <w:p>
      <w:pPr>
        <w:bidi w:val="0"/>
        <w:rPr>
          <w:rFonts w:hint="eastAsia"/>
          <w:lang w:val="en-US" w:eastAsia="zh-CN"/>
        </w:rPr>
      </w:pPr>
      <w:r>
        <w:rPr>
          <w:rFonts w:hint="eastAsia"/>
          <w:lang w:val="en-US" w:eastAsia="zh-CN"/>
        </w:rPr>
        <w:t>4）其他物流平台</w:t>
      </w:r>
    </w:p>
    <w:p>
      <w:pPr>
        <w:bidi w:val="0"/>
        <w:rPr>
          <w:rFonts w:hint="eastAsia"/>
        </w:rPr>
      </w:pPr>
      <w:r>
        <w:rPr>
          <w:rFonts w:hint="eastAsia"/>
        </w:rPr>
        <w:t>对接其他物流平台的物流信息</w:t>
      </w:r>
      <w:r>
        <w:rPr>
          <w:rFonts w:hint="eastAsia"/>
          <w:lang w:eastAsia="zh-CN"/>
        </w:rPr>
        <w:t>，</w:t>
      </w:r>
      <w:r>
        <w:rPr>
          <w:rFonts w:hint="eastAsia"/>
          <w:lang w:val="en-US" w:eastAsia="zh-CN"/>
        </w:rPr>
        <w:t>例如：苏宁物流、安得物流、货拉拉等</w:t>
      </w:r>
      <w:r>
        <w:rPr>
          <w:rFonts w:hint="eastAsia"/>
        </w:rPr>
        <w:t>。</w:t>
      </w:r>
    </w:p>
    <w:p>
      <w:pPr>
        <w:bidi w:val="0"/>
      </w:pPr>
      <w:r>
        <w:rPr>
          <w:rFonts w:hint="eastAsia"/>
          <w:lang w:val="en-US" w:eastAsia="zh-CN"/>
        </w:rPr>
        <w:t>上述物流平台经咨询与确认，均可与本期建设系统实现对接。</w:t>
      </w:r>
    </w:p>
    <w:p>
      <w:pPr>
        <w:pStyle w:val="7"/>
        <w:bidi w:val="0"/>
        <w:rPr>
          <w:rFonts w:hint="eastAsia"/>
          <w:lang w:val="en-US" w:eastAsia="zh-CN"/>
        </w:rPr>
      </w:pPr>
      <w:r>
        <w:rPr>
          <w:rFonts w:hint="eastAsia"/>
          <w:lang w:val="en-US" w:eastAsia="zh-CN"/>
        </w:rPr>
        <w:t>与发票平台的数据对接</w:t>
      </w:r>
    </w:p>
    <w:p>
      <w:pPr>
        <w:bidi w:val="0"/>
      </w:pPr>
      <w:r>
        <w:rPr>
          <w:rFonts w:hint="eastAsia"/>
          <w:lang w:val="en-US" w:eastAsia="zh-CN"/>
        </w:rPr>
        <w:t>1）</w:t>
      </w:r>
      <w:r>
        <w:rPr>
          <w:rFonts w:hint="eastAsia"/>
        </w:rPr>
        <w:t>百望电子发票平台</w:t>
      </w:r>
    </w:p>
    <w:p>
      <w:pPr>
        <w:bidi w:val="0"/>
      </w:pPr>
      <w:r>
        <w:rPr>
          <w:rFonts w:hint="eastAsia"/>
        </w:rPr>
        <w:t>对接百望云电子发票平台。</w:t>
      </w:r>
    </w:p>
    <w:p>
      <w:pPr>
        <w:bidi w:val="0"/>
      </w:pPr>
      <w:r>
        <w:rPr>
          <w:rFonts w:hint="eastAsia"/>
          <w:lang w:val="en-US" w:eastAsia="zh-CN"/>
        </w:rPr>
        <w:t>2）</w:t>
      </w:r>
      <w:r>
        <w:rPr>
          <w:rFonts w:hint="eastAsia"/>
        </w:rPr>
        <w:t>云票儿电子发票平台</w:t>
      </w:r>
    </w:p>
    <w:p>
      <w:pPr>
        <w:bidi w:val="0"/>
      </w:pPr>
      <w:r>
        <w:rPr>
          <w:rFonts w:hint="eastAsia"/>
        </w:rPr>
        <w:t>对接云票儿电子发票平台。</w:t>
      </w:r>
    </w:p>
    <w:p>
      <w:pPr>
        <w:bidi w:val="0"/>
      </w:pPr>
      <w:r>
        <w:rPr>
          <w:rFonts w:hint="eastAsia"/>
          <w:lang w:val="en-US" w:eastAsia="zh-CN"/>
        </w:rPr>
        <w:t>3）</w:t>
      </w:r>
      <w:r>
        <w:rPr>
          <w:rFonts w:hint="eastAsia"/>
        </w:rPr>
        <w:t>其他电子发票平台</w:t>
      </w:r>
    </w:p>
    <w:p>
      <w:pPr>
        <w:bidi w:val="0"/>
        <w:rPr>
          <w:rFonts w:hint="eastAsia"/>
        </w:rPr>
      </w:pPr>
      <w:r>
        <w:rPr>
          <w:rFonts w:hint="eastAsia"/>
        </w:rPr>
        <w:t>对接当前系统所需的其他电子发票平台</w:t>
      </w:r>
      <w:r>
        <w:rPr>
          <w:rFonts w:hint="eastAsia"/>
          <w:lang w:eastAsia="zh-CN"/>
        </w:rPr>
        <w:t>，</w:t>
      </w:r>
      <w:r>
        <w:rPr>
          <w:rFonts w:hint="eastAsia"/>
          <w:lang w:val="en-US" w:eastAsia="zh-CN"/>
        </w:rPr>
        <w:t>例如：51、诺诺、用友等</w:t>
      </w:r>
      <w:r>
        <w:rPr>
          <w:rFonts w:hint="eastAsia"/>
        </w:rPr>
        <w:t>。</w:t>
      </w:r>
    </w:p>
    <w:p>
      <w:pPr>
        <w:bidi w:val="0"/>
      </w:pPr>
      <w:r>
        <w:rPr>
          <w:rFonts w:hint="eastAsia"/>
          <w:lang w:val="en-US" w:eastAsia="zh-CN"/>
        </w:rPr>
        <w:t>上述发票平台经咨询与确认，均可与本期建设系统实现对接。</w:t>
      </w:r>
    </w:p>
    <w:p>
      <w:pPr>
        <w:pStyle w:val="7"/>
        <w:bidi w:val="0"/>
        <w:rPr>
          <w:rFonts w:hint="eastAsia"/>
          <w:lang w:val="en-US" w:eastAsia="zh-CN"/>
        </w:rPr>
      </w:pPr>
      <w:r>
        <w:rPr>
          <w:rFonts w:hint="eastAsia"/>
          <w:lang w:val="en-US" w:eastAsia="zh-CN"/>
        </w:rPr>
        <w:t>与产品溯源管理系统对接</w:t>
      </w:r>
    </w:p>
    <w:p>
      <w:pPr>
        <w:pStyle w:val="16"/>
        <w:spacing w:after="0" w:line="360" w:lineRule="auto"/>
        <w:ind w:firstLine="480" w:firstLineChars="200"/>
        <w:rPr>
          <w:szCs w:val="24"/>
        </w:rPr>
      </w:pPr>
      <w:r>
        <w:rPr>
          <w:rFonts w:hint="eastAsia"/>
          <w:sz w:val="24"/>
          <w:szCs w:val="24"/>
        </w:rPr>
        <w:t>保留与二维码溯源平台对接的接口</w:t>
      </w:r>
      <w:r>
        <w:rPr>
          <w:rFonts w:hint="eastAsia"/>
          <w:sz w:val="24"/>
          <w:szCs w:val="24"/>
          <w:lang w:eastAsia="zh-CN"/>
        </w:rPr>
        <w:t>，</w:t>
      </w:r>
      <w:r>
        <w:rPr>
          <w:rFonts w:hint="eastAsia"/>
          <w:lang w:val="en-US" w:eastAsia="zh-CN"/>
        </w:rPr>
        <w:t>产品溯源管理系统在2019年和平县国家级</w:t>
      </w:r>
      <w:r>
        <w:rPr>
          <w:rFonts w:hint="eastAsia" w:cs="Arial"/>
          <w:bCs/>
          <w:szCs w:val="24"/>
        </w:rPr>
        <w:t>电子商务进农村综合示范项目</w:t>
      </w:r>
      <w:r>
        <w:rPr>
          <w:rFonts w:hint="eastAsia" w:cs="Arial"/>
          <w:bCs/>
          <w:szCs w:val="24"/>
          <w:lang w:val="en-US" w:eastAsia="zh-CN"/>
        </w:rPr>
        <w:t>中由工业商务和信息化局建设，对接工作由建设方统筹安排</w:t>
      </w:r>
      <w:r>
        <w:rPr>
          <w:rFonts w:hint="eastAsia"/>
          <w:sz w:val="24"/>
          <w:szCs w:val="24"/>
        </w:rPr>
        <w:t>。</w:t>
      </w:r>
    </w:p>
    <w:p>
      <w:pPr>
        <w:pStyle w:val="6"/>
        <w:bidi w:val="0"/>
        <w:rPr>
          <w:rFonts w:hint="eastAsia"/>
          <w:lang w:val="en-US" w:eastAsia="zh-CN"/>
        </w:rPr>
      </w:pPr>
      <w:r>
        <w:rPr>
          <w:rFonts w:hint="eastAsia"/>
          <w:lang w:val="en-US" w:eastAsia="zh-CN"/>
        </w:rPr>
        <w:t>大屏数据中心</w:t>
      </w:r>
    </w:p>
    <w:p>
      <w:pPr>
        <w:rPr>
          <w:rFonts w:hint="default"/>
          <w:lang w:val="en-US" w:eastAsia="zh-CN"/>
        </w:rPr>
      </w:pPr>
      <w:r>
        <w:rPr>
          <w:rFonts w:hint="eastAsia"/>
          <w:lang w:val="en-US" w:eastAsia="zh-CN"/>
        </w:rPr>
        <w:t>大屏硬件在非信息化部分同期建设。</w:t>
      </w:r>
    </w:p>
    <w:p>
      <w:pPr>
        <w:numPr>
          <w:ilvl w:val="0"/>
          <w:numId w:val="28"/>
        </w:numPr>
        <w:bidi w:val="0"/>
        <w:rPr>
          <w:b/>
          <w:bCs/>
        </w:rPr>
      </w:pPr>
      <w:r>
        <w:rPr>
          <w:rFonts w:hint="eastAsia"/>
          <w:b/>
          <w:bCs/>
        </w:rPr>
        <w:t>客户概况及趋势</w:t>
      </w:r>
    </w:p>
    <w:p>
      <w:pPr>
        <w:pStyle w:val="16"/>
        <w:spacing w:after="0" w:line="360" w:lineRule="auto"/>
        <w:ind w:firstLine="480" w:firstLineChars="200"/>
        <w:rPr>
          <w:szCs w:val="24"/>
        </w:rPr>
      </w:pPr>
      <w:r>
        <w:rPr>
          <w:rFonts w:hint="eastAsia"/>
          <w:sz w:val="24"/>
          <w:szCs w:val="24"/>
        </w:rPr>
        <w:t>分析平台注册会用户数据及趋势。</w:t>
      </w:r>
    </w:p>
    <w:p>
      <w:pPr>
        <w:numPr>
          <w:ilvl w:val="0"/>
          <w:numId w:val="28"/>
        </w:numPr>
        <w:bidi w:val="0"/>
        <w:rPr>
          <w:rFonts w:hint="eastAsia" w:ascii="宋体" w:hAnsi="宋体" w:eastAsia="宋体" w:cs="宋体"/>
          <w:b/>
          <w:bCs/>
        </w:rPr>
      </w:pPr>
      <w:r>
        <w:rPr>
          <w:rFonts w:hint="eastAsia" w:ascii="宋体" w:hAnsi="宋体" w:eastAsia="宋体" w:cs="宋体"/>
          <w:b/>
          <w:bCs/>
        </w:rPr>
        <w:t>流量概况分析</w:t>
      </w:r>
    </w:p>
    <w:p>
      <w:pPr>
        <w:pStyle w:val="16"/>
        <w:spacing w:after="0" w:line="360" w:lineRule="auto"/>
        <w:ind w:firstLine="480" w:firstLineChars="200"/>
        <w:rPr>
          <w:sz w:val="24"/>
          <w:szCs w:val="24"/>
        </w:rPr>
      </w:pPr>
      <w:r>
        <w:rPr>
          <w:rFonts w:hint="eastAsia"/>
          <w:sz w:val="24"/>
          <w:szCs w:val="24"/>
        </w:rPr>
        <w:t>分析平</w:t>
      </w:r>
      <w:r>
        <w:rPr>
          <w:sz w:val="24"/>
          <w:szCs w:val="24"/>
        </w:rPr>
        <w:t>PV、UV数据及其趋势</w:t>
      </w:r>
      <w:r>
        <w:rPr>
          <w:rFonts w:hint="eastAsia"/>
          <w:sz w:val="24"/>
          <w:szCs w:val="24"/>
        </w:rPr>
        <w:t>。</w:t>
      </w:r>
    </w:p>
    <w:p>
      <w:pPr>
        <w:numPr>
          <w:ilvl w:val="0"/>
          <w:numId w:val="28"/>
        </w:numPr>
        <w:bidi w:val="0"/>
        <w:rPr>
          <w:rFonts w:hint="eastAsia" w:ascii="宋体" w:hAnsi="宋体" w:eastAsia="宋体" w:cs="宋体"/>
          <w:b/>
          <w:bCs/>
        </w:rPr>
      </w:pPr>
      <w:r>
        <w:rPr>
          <w:rFonts w:hint="eastAsia" w:ascii="宋体" w:hAnsi="宋体" w:eastAsia="宋体" w:cs="宋体"/>
          <w:b/>
          <w:bCs/>
        </w:rPr>
        <w:t>顾客浏览记录图</w:t>
      </w:r>
    </w:p>
    <w:p>
      <w:pPr>
        <w:pStyle w:val="16"/>
        <w:spacing w:after="0" w:line="360" w:lineRule="auto"/>
        <w:ind w:firstLine="480" w:firstLineChars="200"/>
        <w:rPr>
          <w:sz w:val="24"/>
          <w:szCs w:val="24"/>
        </w:rPr>
      </w:pPr>
      <w:r>
        <w:rPr>
          <w:rFonts w:hint="eastAsia"/>
          <w:sz w:val="24"/>
          <w:szCs w:val="24"/>
        </w:rPr>
        <w:t>分析客户对商品的浏览记录，拟得出其感兴趣的商品。</w:t>
      </w:r>
    </w:p>
    <w:p>
      <w:pPr>
        <w:numPr>
          <w:ilvl w:val="0"/>
          <w:numId w:val="28"/>
        </w:numPr>
        <w:bidi w:val="0"/>
        <w:rPr>
          <w:rFonts w:hint="eastAsia" w:ascii="宋体" w:hAnsi="宋体" w:eastAsia="宋体" w:cs="宋体"/>
          <w:b/>
          <w:bCs/>
        </w:rPr>
      </w:pPr>
      <w:r>
        <w:rPr>
          <w:rFonts w:hint="eastAsia" w:ascii="宋体" w:hAnsi="宋体" w:eastAsia="宋体" w:cs="宋体"/>
          <w:b/>
          <w:bCs/>
        </w:rPr>
        <w:t>热力图分析</w:t>
      </w:r>
    </w:p>
    <w:p>
      <w:pPr>
        <w:pStyle w:val="16"/>
        <w:spacing w:after="0" w:line="360" w:lineRule="auto"/>
        <w:ind w:firstLine="480" w:firstLineChars="200"/>
        <w:rPr>
          <w:sz w:val="24"/>
          <w:szCs w:val="24"/>
        </w:rPr>
      </w:pPr>
      <w:r>
        <w:rPr>
          <w:rFonts w:hint="eastAsia"/>
          <w:sz w:val="24"/>
          <w:szCs w:val="24"/>
        </w:rPr>
        <w:t>以高亮的形式显示访客所在的地理区域的图示。</w:t>
      </w:r>
    </w:p>
    <w:p>
      <w:pPr>
        <w:numPr>
          <w:ilvl w:val="0"/>
          <w:numId w:val="28"/>
        </w:numPr>
        <w:bidi w:val="0"/>
        <w:rPr>
          <w:rFonts w:hint="eastAsia" w:ascii="宋体" w:hAnsi="宋体" w:eastAsia="宋体" w:cs="宋体"/>
          <w:b/>
          <w:bCs/>
        </w:rPr>
      </w:pPr>
      <w:r>
        <w:rPr>
          <w:rFonts w:hint="eastAsia" w:ascii="宋体" w:hAnsi="宋体" w:eastAsia="宋体" w:cs="宋体"/>
          <w:b/>
          <w:bCs/>
        </w:rPr>
        <w:t>访客</w:t>
      </w:r>
      <w:r>
        <w:rPr>
          <w:rFonts w:hint="eastAsia" w:cs="宋体"/>
          <w:b/>
          <w:bCs/>
          <w:lang w:val="en-US" w:eastAsia="zh-CN"/>
        </w:rPr>
        <w:t>来访</w:t>
      </w:r>
      <w:r>
        <w:rPr>
          <w:rFonts w:hint="eastAsia" w:ascii="宋体" w:hAnsi="宋体" w:eastAsia="宋体" w:cs="宋体"/>
          <w:b/>
          <w:bCs/>
        </w:rPr>
        <w:t>分析</w:t>
      </w:r>
    </w:p>
    <w:p>
      <w:pPr>
        <w:pStyle w:val="16"/>
        <w:spacing w:after="0" w:line="360" w:lineRule="auto"/>
        <w:ind w:firstLine="480" w:firstLineChars="200"/>
        <w:rPr>
          <w:sz w:val="24"/>
          <w:szCs w:val="24"/>
        </w:rPr>
      </w:pPr>
      <w:r>
        <w:rPr>
          <w:rFonts w:hint="eastAsia"/>
          <w:sz w:val="24"/>
          <w:szCs w:val="24"/>
        </w:rPr>
        <w:t>分析访客的来访时间时间段分布数据，拟得出访客活跃时间段。</w:t>
      </w:r>
    </w:p>
    <w:p>
      <w:pPr>
        <w:numPr>
          <w:ilvl w:val="0"/>
          <w:numId w:val="28"/>
        </w:numPr>
        <w:bidi w:val="0"/>
        <w:rPr>
          <w:rFonts w:hint="eastAsia" w:ascii="宋体" w:hAnsi="宋体" w:eastAsia="宋体" w:cs="宋体"/>
          <w:b/>
          <w:bCs/>
        </w:rPr>
      </w:pPr>
      <w:r>
        <w:rPr>
          <w:rFonts w:hint="eastAsia" w:ascii="宋体" w:hAnsi="宋体" w:eastAsia="宋体" w:cs="宋体"/>
          <w:b/>
          <w:bCs/>
        </w:rPr>
        <w:t>访客地域分布</w:t>
      </w:r>
    </w:p>
    <w:p>
      <w:pPr>
        <w:pStyle w:val="16"/>
        <w:spacing w:after="0" w:line="360" w:lineRule="auto"/>
        <w:ind w:firstLine="480" w:firstLineChars="200"/>
        <w:rPr>
          <w:szCs w:val="24"/>
        </w:rPr>
      </w:pPr>
      <w:r>
        <w:rPr>
          <w:rFonts w:hint="eastAsia"/>
          <w:sz w:val="24"/>
          <w:szCs w:val="24"/>
        </w:rPr>
        <w:t>分析访客的来源地区分布数据，拟得出访客活跃地区。</w:t>
      </w:r>
    </w:p>
    <w:p>
      <w:pPr>
        <w:numPr>
          <w:ilvl w:val="0"/>
          <w:numId w:val="28"/>
        </w:numPr>
        <w:bidi w:val="0"/>
        <w:rPr>
          <w:rFonts w:hint="eastAsia" w:ascii="宋体" w:hAnsi="宋体" w:eastAsia="宋体" w:cs="宋体"/>
          <w:b/>
          <w:bCs/>
        </w:rPr>
      </w:pPr>
      <w:r>
        <w:rPr>
          <w:rFonts w:hint="eastAsia" w:ascii="宋体" w:hAnsi="宋体" w:eastAsia="宋体" w:cs="宋体"/>
          <w:b/>
          <w:bCs/>
        </w:rPr>
        <w:t>来源监控</w:t>
      </w:r>
      <w:r>
        <w:rPr>
          <w:rFonts w:hint="eastAsia" w:ascii="宋体" w:hAnsi="宋体" w:eastAsia="宋体" w:cs="宋体"/>
          <w:b/>
          <w:bCs/>
        </w:rPr>
        <w:tab/>
      </w:r>
    </w:p>
    <w:p>
      <w:pPr>
        <w:pStyle w:val="16"/>
        <w:spacing w:after="0" w:line="360" w:lineRule="auto"/>
        <w:ind w:firstLine="480" w:firstLineChars="200"/>
        <w:rPr>
          <w:sz w:val="24"/>
          <w:szCs w:val="24"/>
        </w:rPr>
      </w:pPr>
      <w:r>
        <w:rPr>
          <w:sz w:val="24"/>
          <w:szCs w:val="24"/>
        </w:rPr>
        <w:t>分析用户的来源途径数据，拟得出流量主要来源途径</w:t>
      </w:r>
      <w:r>
        <w:rPr>
          <w:rFonts w:hint="eastAsia"/>
          <w:sz w:val="24"/>
          <w:szCs w:val="24"/>
        </w:rPr>
        <w:t>。</w:t>
      </w:r>
    </w:p>
    <w:p>
      <w:pPr>
        <w:numPr>
          <w:ilvl w:val="0"/>
          <w:numId w:val="28"/>
        </w:numPr>
        <w:bidi w:val="0"/>
        <w:rPr>
          <w:rFonts w:hint="eastAsia" w:ascii="宋体" w:hAnsi="宋体" w:eastAsia="宋体" w:cs="宋体"/>
          <w:b/>
          <w:bCs/>
        </w:rPr>
      </w:pPr>
      <w:r>
        <w:rPr>
          <w:rFonts w:hint="eastAsia" w:ascii="宋体" w:hAnsi="宋体" w:eastAsia="宋体" w:cs="宋体"/>
          <w:b/>
          <w:bCs/>
        </w:rPr>
        <w:t>商品整体概况</w:t>
      </w:r>
      <w:r>
        <w:rPr>
          <w:rFonts w:hint="eastAsia" w:ascii="宋体" w:hAnsi="宋体" w:eastAsia="宋体" w:cs="宋体"/>
          <w:b/>
          <w:bCs/>
        </w:rPr>
        <w:tab/>
      </w:r>
    </w:p>
    <w:p>
      <w:pPr>
        <w:pStyle w:val="16"/>
        <w:spacing w:after="0" w:line="360" w:lineRule="auto"/>
        <w:ind w:firstLine="480" w:firstLineChars="200"/>
        <w:rPr>
          <w:sz w:val="24"/>
          <w:szCs w:val="24"/>
        </w:rPr>
      </w:pPr>
      <w:r>
        <w:rPr>
          <w:sz w:val="24"/>
          <w:szCs w:val="24"/>
        </w:rPr>
        <w:t>分析单个商品访问、成交、转化数据</w:t>
      </w:r>
      <w:r>
        <w:rPr>
          <w:rFonts w:hint="eastAsia"/>
          <w:sz w:val="24"/>
          <w:szCs w:val="24"/>
        </w:rPr>
        <w:t>。</w:t>
      </w:r>
    </w:p>
    <w:p>
      <w:pPr>
        <w:numPr>
          <w:ilvl w:val="0"/>
          <w:numId w:val="28"/>
        </w:numPr>
        <w:bidi w:val="0"/>
        <w:rPr>
          <w:rFonts w:hint="eastAsia" w:ascii="宋体" w:hAnsi="宋体" w:eastAsia="宋体" w:cs="宋体"/>
          <w:b/>
          <w:bCs/>
        </w:rPr>
      </w:pPr>
      <w:r>
        <w:rPr>
          <w:rFonts w:hint="eastAsia" w:ascii="宋体" w:hAnsi="宋体" w:eastAsia="宋体" w:cs="宋体"/>
          <w:b/>
          <w:bCs/>
        </w:rPr>
        <w:t>交易概况</w:t>
      </w:r>
      <w:r>
        <w:rPr>
          <w:rFonts w:hint="eastAsia" w:ascii="宋体" w:hAnsi="宋体" w:eastAsia="宋体" w:cs="宋体"/>
          <w:b/>
          <w:bCs/>
        </w:rPr>
        <w:tab/>
      </w:r>
    </w:p>
    <w:p>
      <w:pPr>
        <w:pStyle w:val="16"/>
        <w:spacing w:after="0" w:line="360" w:lineRule="auto"/>
        <w:ind w:firstLine="480" w:firstLineChars="200"/>
        <w:rPr>
          <w:sz w:val="24"/>
          <w:szCs w:val="24"/>
        </w:rPr>
      </w:pPr>
      <w:r>
        <w:rPr>
          <w:sz w:val="24"/>
          <w:szCs w:val="24"/>
        </w:rPr>
        <w:t>分析交易订单量、订单时间段、来源地区等数据</w:t>
      </w:r>
      <w:r>
        <w:rPr>
          <w:rFonts w:hint="eastAsia"/>
          <w:sz w:val="24"/>
          <w:szCs w:val="24"/>
        </w:rPr>
        <w:t>。</w:t>
      </w:r>
    </w:p>
    <w:p>
      <w:pPr>
        <w:numPr>
          <w:ilvl w:val="0"/>
          <w:numId w:val="28"/>
        </w:numPr>
        <w:bidi w:val="0"/>
        <w:rPr>
          <w:rFonts w:hint="eastAsia" w:ascii="宋体" w:hAnsi="宋体" w:eastAsia="宋体" w:cs="宋体"/>
          <w:b/>
          <w:bCs/>
        </w:rPr>
      </w:pPr>
      <w:r>
        <w:rPr>
          <w:rFonts w:hint="eastAsia" w:ascii="宋体" w:hAnsi="宋体" w:eastAsia="宋体" w:cs="宋体"/>
          <w:b/>
          <w:bCs/>
        </w:rPr>
        <w:t>营销概况</w:t>
      </w:r>
      <w:r>
        <w:rPr>
          <w:rFonts w:hint="eastAsia" w:ascii="宋体" w:hAnsi="宋体" w:eastAsia="宋体" w:cs="宋体"/>
          <w:b/>
          <w:bCs/>
        </w:rPr>
        <w:tab/>
      </w:r>
    </w:p>
    <w:p>
      <w:pPr>
        <w:pStyle w:val="16"/>
        <w:spacing w:after="0" w:line="360" w:lineRule="auto"/>
        <w:ind w:firstLine="480" w:firstLineChars="200"/>
        <w:rPr>
          <w:sz w:val="24"/>
          <w:szCs w:val="24"/>
        </w:rPr>
      </w:pPr>
      <w:r>
        <w:rPr>
          <w:sz w:val="24"/>
          <w:szCs w:val="24"/>
        </w:rPr>
        <w:t>分析各营销活动所带来的销量以评估营销活动时否有效</w:t>
      </w:r>
      <w:r>
        <w:rPr>
          <w:rFonts w:hint="eastAsia"/>
          <w:sz w:val="24"/>
          <w:szCs w:val="24"/>
        </w:rPr>
        <w:t>。</w:t>
      </w:r>
    </w:p>
    <w:p>
      <w:pPr>
        <w:numPr>
          <w:ilvl w:val="0"/>
          <w:numId w:val="28"/>
        </w:numPr>
        <w:bidi w:val="0"/>
        <w:rPr>
          <w:rFonts w:hint="eastAsia" w:ascii="宋体" w:hAnsi="宋体" w:eastAsia="宋体" w:cs="宋体"/>
          <w:b/>
          <w:bCs/>
        </w:rPr>
      </w:pPr>
      <w:r>
        <w:rPr>
          <w:rFonts w:hint="eastAsia" w:ascii="宋体" w:hAnsi="宋体" w:eastAsia="宋体" w:cs="宋体"/>
          <w:b/>
          <w:bCs/>
        </w:rPr>
        <w:t>会员排行</w:t>
      </w:r>
      <w:r>
        <w:rPr>
          <w:rFonts w:hint="eastAsia" w:ascii="宋体" w:hAnsi="宋体" w:eastAsia="宋体" w:cs="宋体"/>
          <w:b/>
          <w:bCs/>
        </w:rPr>
        <w:tab/>
      </w:r>
    </w:p>
    <w:p>
      <w:pPr>
        <w:pStyle w:val="16"/>
        <w:spacing w:after="0" w:line="360" w:lineRule="auto"/>
        <w:ind w:firstLine="480" w:firstLineChars="200"/>
        <w:rPr>
          <w:sz w:val="24"/>
          <w:szCs w:val="24"/>
        </w:rPr>
      </w:pPr>
      <w:r>
        <w:rPr>
          <w:sz w:val="24"/>
          <w:szCs w:val="24"/>
        </w:rPr>
        <w:t>展示会员的订单数和购物金额，并可根据开始、结束时间进行查询。</w:t>
      </w:r>
    </w:p>
    <w:p>
      <w:pPr>
        <w:numPr>
          <w:ilvl w:val="0"/>
          <w:numId w:val="28"/>
        </w:numPr>
        <w:bidi w:val="0"/>
        <w:rPr>
          <w:rFonts w:hint="eastAsia" w:ascii="宋体" w:hAnsi="宋体" w:eastAsia="宋体" w:cs="宋体"/>
          <w:b/>
          <w:bCs/>
        </w:rPr>
      </w:pPr>
      <w:r>
        <w:rPr>
          <w:rFonts w:hint="eastAsia" w:ascii="宋体" w:hAnsi="宋体" w:eastAsia="宋体" w:cs="宋体"/>
          <w:b/>
          <w:bCs/>
        </w:rPr>
        <w:t>销售排行</w:t>
      </w:r>
      <w:r>
        <w:rPr>
          <w:rFonts w:hint="eastAsia" w:ascii="宋体" w:hAnsi="宋体" w:eastAsia="宋体" w:cs="宋体"/>
          <w:b/>
          <w:bCs/>
        </w:rPr>
        <w:tab/>
      </w:r>
    </w:p>
    <w:p>
      <w:pPr>
        <w:pStyle w:val="16"/>
        <w:spacing w:after="0" w:line="360" w:lineRule="auto"/>
        <w:ind w:firstLine="480" w:firstLineChars="200"/>
        <w:rPr>
          <w:sz w:val="24"/>
          <w:szCs w:val="24"/>
        </w:rPr>
      </w:pPr>
      <w:r>
        <w:rPr>
          <w:sz w:val="24"/>
          <w:szCs w:val="24"/>
        </w:rPr>
        <w:t>销售排行展示一段时间内商品的出售排行，以"销售量"递减排序。在此可以查看商品的销售量，总的销售额以及商品均价。</w:t>
      </w:r>
    </w:p>
    <w:p>
      <w:pPr>
        <w:numPr>
          <w:ilvl w:val="0"/>
          <w:numId w:val="28"/>
        </w:numPr>
        <w:bidi w:val="0"/>
        <w:rPr>
          <w:rFonts w:hint="eastAsia" w:ascii="宋体" w:hAnsi="宋体" w:eastAsia="宋体" w:cs="宋体"/>
          <w:b/>
          <w:bCs/>
        </w:rPr>
      </w:pPr>
      <w:r>
        <w:rPr>
          <w:rFonts w:hint="eastAsia" w:ascii="宋体" w:hAnsi="宋体" w:eastAsia="宋体" w:cs="宋体"/>
          <w:b/>
          <w:bCs/>
        </w:rPr>
        <w:t>经营日、周、月报</w:t>
      </w:r>
      <w:r>
        <w:rPr>
          <w:rFonts w:hint="eastAsia" w:ascii="宋体" w:hAnsi="宋体" w:eastAsia="宋体" w:cs="宋体"/>
          <w:b/>
          <w:bCs/>
        </w:rPr>
        <w:tab/>
      </w:r>
    </w:p>
    <w:p>
      <w:pPr>
        <w:pStyle w:val="16"/>
        <w:spacing w:after="0" w:line="360" w:lineRule="auto"/>
        <w:ind w:firstLine="480" w:firstLineChars="200"/>
        <w:rPr>
          <w:sz w:val="24"/>
          <w:szCs w:val="24"/>
        </w:rPr>
      </w:pPr>
      <w:r>
        <w:rPr>
          <w:sz w:val="24"/>
          <w:szCs w:val="24"/>
        </w:rPr>
        <w:t>分析用户注册数、访客数、商品上下架数、交易数据日、周、月数据</w:t>
      </w:r>
      <w:r>
        <w:rPr>
          <w:rFonts w:hint="eastAsia"/>
          <w:sz w:val="24"/>
          <w:szCs w:val="24"/>
        </w:rPr>
        <w:t>。</w:t>
      </w:r>
    </w:p>
    <w:p>
      <w:pPr>
        <w:numPr>
          <w:ilvl w:val="0"/>
          <w:numId w:val="28"/>
        </w:numPr>
        <w:bidi w:val="0"/>
        <w:rPr>
          <w:rFonts w:hint="eastAsia" w:ascii="宋体" w:hAnsi="宋体" w:eastAsia="宋体" w:cs="宋体"/>
          <w:b/>
          <w:bCs/>
        </w:rPr>
      </w:pPr>
      <w:r>
        <w:rPr>
          <w:rFonts w:hint="eastAsia" w:ascii="宋体" w:hAnsi="宋体" w:eastAsia="宋体" w:cs="宋体"/>
          <w:b/>
          <w:bCs/>
        </w:rPr>
        <w:t>SPU销售日、周、月报</w:t>
      </w:r>
      <w:r>
        <w:rPr>
          <w:rFonts w:hint="eastAsia" w:ascii="宋体" w:hAnsi="宋体" w:eastAsia="宋体" w:cs="宋体"/>
          <w:b/>
          <w:bCs/>
        </w:rPr>
        <w:tab/>
      </w:r>
    </w:p>
    <w:p>
      <w:pPr>
        <w:pStyle w:val="16"/>
        <w:spacing w:after="0" w:line="360" w:lineRule="auto"/>
        <w:ind w:firstLine="480" w:firstLineChars="200"/>
        <w:rPr>
          <w:rFonts w:hint="eastAsia"/>
          <w:sz w:val="24"/>
          <w:szCs w:val="24"/>
        </w:rPr>
      </w:pPr>
      <w:r>
        <w:rPr>
          <w:sz w:val="24"/>
          <w:szCs w:val="24"/>
        </w:rPr>
        <w:t>分析商品销售的日、周、月数据</w:t>
      </w:r>
      <w:r>
        <w:rPr>
          <w:rFonts w:hint="eastAsia"/>
          <w:sz w:val="24"/>
          <w:szCs w:val="24"/>
        </w:rPr>
        <w:t>。</w:t>
      </w:r>
    </w:p>
    <w:p>
      <w:pPr>
        <w:pStyle w:val="4"/>
        <w:rPr>
          <w:rFonts w:hint="default"/>
          <w:color w:val="000000" w:themeColor="text1"/>
          <w:lang w:val="en-US" w:eastAsia="zh-CN"/>
          <w14:textFill>
            <w14:solidFill>
              <w14:schemeClr w14:val="tx1"/>
            </w14:solidFill>
          </w14:textFill>
        </w:rPr>
      </w:pPr>
      <w:bookmarkStart w:id="137" w:name="_Toc10286"/>
      <w:r>
        <w:rPr>
          <w:rFonts w:hint="eastAsia"/>
          <w:color w:val="000000" w:themeColor="text1"/>
          <w:lang w:val="en-US" w:eastAsia="zh-CN"/>
          <w14:textFill>
            <w14:solidFill>
              <w14:schemeClr w14:val="tx1"/>
            </w14:solidFill>
          </w14:textFill>
        </w:rPr>
        <w:t>配套管理建设</w:t>
      </w:r>
      <w:bookmarkEnd w:id="137"/>
    </w:p>
    <w:p>
      <w:pPr>
        <w:pStyle w:val="5"/>
        <w:bidi w:val="0"/>
        <w:rPr>
          <w:rFonts w:hint="eastAsia"/>
        </w:rPr>
      </w:pPr>
      <w:bookmarkStart w:id="138" w:name="_Toc19163"/>
      <w:bookmarkStart w:id="139" w:name="_Toc84624260"/>
      <w:r>
        <w:rPr>
          <w:rFonts w:hint="eastAsia"/>
          <w:lang w:val="en-US" w:eastAsia="zh-CN"/>
        </w:rPr>
        <w:t>和平县乡村振兴农产品展销管理平台人员服务</w:t>
      </w:r>
      <w:bookmarkEnd w:id="138"/>
    </w:p>
    <w:bookmarkEnd w:id="139"/>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和平县乡村振兴农产品展销管理平台人员服务，管理人员、美工人员、推广人员、客服人员、售后人员、信息数据专员、物流统筹员、品控人员、培训人员等人员服务。主要用于平台的运营、维护，数据采集核对，物流发货、监督考评等。</w:t>
      </w:r>
    </w:p>
    <w:p>
      <w:pPr>
        <w:numPr>
          <w:ilvl w:val="0"/>
          <w:numId w:val="29"/>
        </w:numPr>
        <w:bidi w:val="0"/>
        <w:rPr>
          <w:rFonts w:hint="eastAsia"/>
          <w:b/>
          <w:bCs/>
          <w:lang w:val="en-US" w:eastAsia="zh-CN"/>
        </w:rPr>
      </w:pPr>
      <w:r>
        <w:rPr>
          <w:rFonts w:hint="eastAsia"/>
          <w:b/>
          <w:bCs/>
          <w:lang w:val="en-US" w:eastAsia="zh-CN"/>
        </w:rPr>
        <w:t>和平县乡村振兴农产品展销管理平台运营主管</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1、负责平台整体运营，制定运营策略并组织执行，负责的平台的年度、季度、月度销售计划；</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2、负责网站的整体运营(管理用户需求分析、网站优化与推广、流量分析等工作)；</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3、了解同行运营策略，能有效了解同行的各项流程、推广策略、营销策略及产品策略等；</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4、分析平台数据，并作出改进方案，善于统计、分析平台各类数据、提出改进方案、带领团队进行平台日常的维护、推广等；</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5、与系统开发方对接，及时处理信息系统及网络中所遇到的问题。</w:t>
      </w:r>
    </w:p>
    <w:p>
      <w:pPr>
        <w:numPr>
          <w:ilvl w:val="0"/>
          <w:numId w:val="29"/>
        </w:numPr>
        <w:bidi w:val="0"/>
        <w:rPr>
          <w:rFonts w:hint="eastAsia"/>
          <w:b/>
          <w:bCs/>
          <w:lang w:val="en-US" w:eastAsia="zh-CN"/>
        </w:rPr>
      </w:pPr>
      <w:r>
        <w:rPr>
          <w:rFonts w:hint="eastAsia"/>
          <w:b/>
          <w:bCs/>
          <w:lang w:val="en-US" w:eastAsia="zh-CN"/>
        </w:rPr>
        <w:t>和平县乡村振兴农产品展销管理平台运营专员</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1、制定营销推广方案，线上和平县乡村振兴产品公共服务系统营销工具研究，制定营销推广方案，提高店铺流量，提升产品点击率、浏览量、转化率等指标；</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2、根据平台、品牌、节日等波段策划营销活动，活动跟踪、异常处理、活动总结及改进；</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3、分析店铺数据并及时调整；</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4、分析店铺运营、销售的相关指标，根据店铺的数据和市场情况，调整各店铺的运营节奏，完成店铺销售目标；</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5、团队成员的工作安排及指导，协调部门与部门之间的关系；</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6、统计店铺日常费用+业绩，负责店铺运营费用统计，日常数据资料汇总。</w:t>
      </w:r>
    </w:p>
    <w:p>
      <w:pPr>
        <w:numPr>
          <w:ilvl w:val="0"/>
          <w:numId w:val="29"/>
        </w:numPr>
        <w:bidi w:val="0"/>
        <w:rPr>
          <w:rFonts w:hint="eastAsia" w:ascii="宋体" w:hAnsi="宋体" w:eastAsia="宋体" w:cs="宋体"/>
          <w:b/>
          <w:bCs/>
          <w:lang w:val="en-US" w:eastAsia="zh-CN"/>
        </w:rPr>
      </w:pPr>
      <w:r>
        <w:rPr>
          <w:rFonts w:hint="eastAsia" w:ascii="宋体" w:hAnsi="宋体" w:eastAsia="宋体" w:cs="宋体"/>
          <w:b/>
          <w:bCs/>
          <w:lang w:val="en-US" w:eastAsia="zh-CN"/>
        </w:rPr>
        <w:t>图片产品拍网上摄师和图片处理理员（美工设计）</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1、展销平台内容建设的布局和结构等方面的整体规划和文字编辑工作；</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2、负责线上和平县乡村振兴产品公共服务系统各个渠道的整体形象设计、商品展示设计、详情页优化、整体布局、活动推广等；</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3、负责品牌整体形象的创意设计，把握店铺的整体风格和视觉呈现，全面提升网站的整体视觉效果；</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4、负责对产品拍摄及方案策划、对品牌的创意策略和创意构思进行提案工作，配合整体的营销策略以达到预期的市场效果；</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5、为美术、文字、动画等创意作品的创意概念发起、指导、执行的整体过程负责，出品把控；</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6、做好部门之间的协调工作，根据各部门任职要求，设计及制作相应的资料。</w:t>
      </w:r>
    </w:p>
    <w:p>
      <w:pPr>
        <w:numPr>
          <w:ilvl w:val="0"/>
          <w:numId w:val="29"/>
        </w:numPr>
        <w:bidi w:val="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和平县乡村振兴电商平台网络推广员（推广专员）</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1、负责店铺的整体推广计划，根据平台及店铺目标制定合理有效的投放计划，执行并跟进效果；</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2、收集、分析投放数据，及时调整投放计划和重点，提高展现量，降低点击成本，增加点击量，提升ROI，配合店铺整体销售进度；</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3、配合店铺运营，进行测试、选品，打造新品、爆款；</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4、定期整理、分析运营推广数据，并输出报告。</w:t>
      </w:r>
    </w:p>
    <w:p>
      <w:pPr>
        <w:numPr>
          <w:ilvl w:val="0"/>
          <w:numId w:val="29"/>
        </w:numPr>
        <w:bidi w:val="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客服</w:t>
      </w:r>
      <w:r>
        <w:rPr>
          <w:rFonts w:hint="eastAsia" w:ascii="宋体" w:hAnsi="宋体" w:eastAsia="宋体" w:cs="宋体"/>
          <w:b/>
          <w:bCs/>
          <w:lang w:val="en-US" w:eastAsia="zh-CN"/>
        </w:rPr>
        <w:t>咨询</w:t>
      </w:r>
      <w:r>
        <w:rPr>
          <w:rFonts w:hint="eastAsia" w:ascii="宋体" w:hAnsi="宋体" w:eastAsia="宋体" w:cs="宋体"/>
          <w:b/>
          <w:bCs/>
          <w:color w:val="000000"/>
          <w:kern w:val="0"/>
          <w:sz w:val="24"/>
          <w:szCs w:val="24"/>
          <w:lang w:val="en-US" w:eastAsia="zh-CN" w:bidi="ar"/>
        </w:rPr>
        <w:t>人员</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1、通过展销平台接待客户，解答疑问，促成交易，获取订单；</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2、负责答复、跟进及反馈客户咨询，熟练操作店铺后台，处理订单、及时准确修改备注、进行订单跟进并能解决一般投诉售后和物流跟进；</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3、经过培训后，熟悉产品和流程，能有效地为不同顾客做推荐与解答；</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4、对于各种最新优惠活动能清晰了解，及时提醒顾客并备注其特殊要求，及时沟通，避免出错。</w:t>
      </w:r>
    </w:p>
    <w:p>
      <w:pPr>
        <w:numPr>
          <w:ilvl w:val="0"/>
          <w:numId w:val="29"/>
        </w:numPr>
        <w:bidi w:val="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财务人员</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1、负责平台入驻商家业务销售的审核，对账，核算。</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2、定期对各项数据进行分析、检查。</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3、对平台的业务资金收付、结算工作。</w:t>
      </w:r>
    </w:p>
    <w:p>
      <w:pPr>
        <w:numPr>
          <w:ilvl w:val="0"/>
          <w:numId w:val="29"/>
        </w:numPr>
        <w:bidi w:val="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信息</w:t>
      </w:r>
      <w:r>
        <w:rPr>
          <w:rFonts w:hint="eastAsia" w:ascii="宋体" w:hAnsi="宋体" w:eastAsia="宋体" w:cs="宋体"/>
          <w:b/>
          <w:bCs/>
          <w:lang w:val="en-US" w:eastAsia="zh-CN"/>
        </w:rPr>
        <w:t>数据</w:t>
      </w:r>
      <w:r>
        <w:rPr>
          <w:rFonts w:hint="eastAsia" w:ascii="宋体" w:hAnsi="宋体" w:eastAsia="宋体" w:cs="宋体"/>
          <w:b/>
          <w:bCs/>
          <w:color w:val="000000"/>
          <w:kern w:val="0"/>
          <w:sz w:val="24"/>
          <w:szCs w:val="24"/>
          <w:lang w:val="en-US" w:eastAsia="zh-CN" w:bidi="ar"/>
        </w:rPr>
        <w:t>专员</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1、负责总部的所有渠道信息的回访筛选、对接、系统录入工作</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2、负责运营商信息的监督抽检工作</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3、独立完成所有信息的数据分析和分类工作</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4、辅助监督城市运营商完成客户跟踪和回访分析工作，提升承担率。</w:t>
      </w:r>
    </w:p>
    <w:p>
      <w:pPr>
        <w:numPr>
          <w:ilvl w:val="0"/>
          <w:numId w:val="29"/>
        </w:numPr>
        <w:bidi w:val="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物流</w:t>
      </w:r>
      <w:r>
        <w:rPr>
          <w:rFonts w:hint="eastAsia" w:ascii="宋体" w:hAnsi="宋体" w:eastAsia="宋体" w:cs="宋体"/>
          <w:b/>
          <w:bCs/>
          <w:lang w:val="en-US" w:eastAsia="zh-CN"/>
        </w:rPr>
        <w:t>发货</w:t>
      </w:r>
      <w:r>
        <w:rPr>
          <w:rFonts w:hint="eastAsia" w:ascii="宋体" w:hAnsi="宋体" w:eastAsia="宋体" w:cs="宋体"/>
          <w:b/>
          <w:bCs/>
          <w:color w:val="000000"/>
          <w:kern w:val="0"/>
          <w:sz w:val="24"/>
          <w:szCs w:val="24"/>
          <w:lang w:val="en-US" w:eastAsia="zh-CN" w:bidi="ar"/>
        </w:rPr>
        <w:t>员（物流统筹员）</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1、有物流、包装相关的知识(调达・生产・出货物流、仓库管理、进出口、打包、航空・海运・陆上运输、包装知识等)。</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2、有一定的统筹能力。</w:t>
      </w:r>
    </w:p>
    <w:p>
      <w:pPr>
        <w:numPr>
          <w:ilvl w:val="0"/>
          <w:numId w:val="29"/>
        </w:numPr>
        <w:bidi w:val="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品控人员</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1、熟悉并解受检产品的结构，性能及使用要求；</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2、按照技术标准对受检产品进行质量检验工作；</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3、对产品的生产条件、使用材料、检验设备等问题向有关部门提出意见；</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4、有权拒检严重违反技术要求，不负责任、粗制滥造的产品；</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5、向有关部门领导等提供质量方面的反馈数据，根据产品存在的问题，分析原因，提出预防和改进的意见供主管领导和有关部门领导参考；</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6、按照技术标准条件做好每个项目的检查记录，防止错检、漏检，及时发现产品中出现的不良品并打上标记，要求并监督制造方采取有效措施认真管理，防止不良产品、不合格产品混入合格产品而埋下质量隐患；</w:t>
      </w:r>
    </w:p>
    <w:p>
      <w:pPr>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7、签发产品合格与否的质量证明；</w:t>
      </w:r>
    </w:p>
    <w:p>
      <w:pPr>
        <w:pStyle w:val="4"/>
        <w:rPr>
          <w:rFonts w:ascii="Times New Roman" w:hAnsi="Times New Roman"/>
        </w:rPr>
      </w:pPr>
      <w:bookmarkStart w:id="140" w:name="_Toc1673"/>
      <w:r>
        <w:rPr>
          <w:rFonts w:hint="eastAsia"/>
          <w:color w:val="000000" w:themeColor="text1"/>
          <w:lang w:val="en-US" w:eastAsia="zh-CN"/>
          <w14:textFill>
            <w14:solidFill>
              <w14:schemeClr w14:val="tx1"/>
            </w14:solidFill>
          </w14:textFill>
        </w:rPr>
        <w:t>主要软硬件选型原则和软硬件配置清单</w:t>
      </w:r>
      <w:bookmarkEnd w:id="140"/>
      <w:bookmarkStart w:id="141" w:name="_Toc27680522"/>
      <w:bookmarkStart w:id="142" w:name="_Toc27935999"/>
      <w:bookmarkStart w:id="143" w:name="_Toc19834885"/>
      <w:bookmarkStart w:id="144" w:name="_Toc1782"/>
      <w:bookmarkStart w:id="145" w:name="_Toc14704769"/>
    </w:p>
    <w:p>
      <w:pPr>
        <w:pStyle w:val="6"/>
        <w:spacing w:line="401" w:lineRule="auto"/>
      </w:pPr>
      <w:bookmarkStart w:id="146" w:name="_Toc79310334"/>
      <w:r>
        <w:rPr>
          <w:rFonts w:hint="eastAsia"/>
        </w:rPr>
        <w:t>云端服务器部署</w:t>
      </w:r>
    </w:p>
    <w:p>
      <w:pPr>
        <w:pStyle w:val="185"/>
        <w:spacing w:line="401" w:lineRule="auto"/>
        <w:ind w:firstLine="480"/>
      </w:pPr>
      <w:r>
        <w:rPr>
          <w:rFonts w:hint="eastAsia"/>
        </w:rPr>
        <w:t>和平县农副产品展销平台将部署在</w:t>
      </w:r>
      <w:r>
        <w:rPr>
          <w:rFonts w:hint="eastAsia"/>
          <w:lang w:val="en-US" w:eastAsia="zh-CN"/>
        </w:rPr>
        <w:t>政务</w:t>
      </w:r>
      <w:r>
        <w:rPr>
          <w:rFonts w:hint="eastAsia"/>
        </w:rPr>
        <w:t>云</w:t>
      </w:r>
      <w:r>
        <w:rPr>
          <w:rFonts w:hint="eastAsia"/>
          <w:lang w:val="en-US" w:eastAsia="zh-CN"/>
        </w:rPr>
        <w:t>河源节点</w:t>
      </w:r>
      <w:r>
        <w:rPr>
          <w:rFonts w:hint="eastAsia"/>
        </w:rPr>
        <w:t>上。</w:t>
      </w:r>
    </w:p>
    <w:p>
      <w:pPr>
        <w:pStyle w:val="6"/>
      </w:pPr>
      <w:r>
        <w:rPr>
          <w:rFonts w:hint="eastAsia"/>
        </w:rPr>
        <w:t>服务器资源清单</w:t>
      </w:r>
    </w:p>
    <w:tbl>
      <w:tblPr>
        <w:tblStyle w:val="34"/>
        <w:tblW w:w="8317" w:type="dxa"/>
        <w:jc w:val="center"/>
        <w:tblLayout w:type="fixed"/>
        <w:tblCellMar>
          <w:top w:w="0" w:type="dxa"/>
          <w:left w:w="108" w:type="dxa"/>
          <w:bottom w:w="0" w:type="dxa"/>
          <w:right w:w="108" w:type="dxa"/>
        </w:tblCellMar>
      </w:tblPr>
      <w:tblGrid>
        <w:gridCol w:w="670"/>
        <w:gridCol w:w="1893"/>
        <w:gridCol w:w="3150"/>
        <w:gridCol w:w="750"/>
        <w:gridCol w:w="791"/>
        <w:gridCol w:w="1063"/>
      </w:tblGrid>
      <w:tr>
        <w:tblPrEx>
          <w:tblCellMar>
            <w:top w:w="0" w:type="dxa"/>
            <w:left w:w="108" w:type="dxa"/>
            <w:bottom w:w="0" w:type="dxa"/>
            <w:right w:w="108" w:type="dxa"/>
          </w:tblCellMar>
        </w:tblPrEx>
        <w:trPr>
          <w:trHeight w:val="610" w:hRule="atLeast"/>
          <w:jc w:val="center"/>
        </w:trPr>
        <w:tc>
          <w:tcPr>
            <w:tcW w:w="670" w:type="dxa"/>
            <w:tcBorders>
              <w:top w:val="single" w:color="auto" w:sz="4" w:space="0"/>
              <w:left w:val="single" w:color="auto" w:sz="8" w:space="0"/>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b/>
                <w:bCs/>
                <w:sz w:val="20"/>
                <w:szCs w:val="20"/>
              </w:rPr>
            </w:pPr>
            <w:r>
              <w:rPr>
                <w:rFonts w:hint="eastAsia"/>
                <w:b/>
                <w:bCs/>
                <w:sz w:val="20"/>
                <w:szCs w:val="20"/>
              </w:rPr>
              <w:t>序号</w:t>
            </w:r>
          </w:p>
        </w:tc>
        <w:tc>
          <w:tcPr>
            <w:tcW w:w="1893" w:type="dxa"/>
            <w:tcBorders>
              <w:top w:val="single" w:color="auto" w:sz="4" w:space="0"/>
              <w:left w:val="single" w:color="auto" w:sz="8" w:space="0"/>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b/>
                <w:bCs/>
                <w:sz w:val="20"/>
                <w:szCs w:val="20"/>
              </w:rPr>
            </w:pPr>
            <w:r>
              <w:rPr>
                <w:rFonts w:hint="eastAsia"/>
                <w:b/>
                <w:bCs/>
                <w:sz w:val="20"/>
                <w:szCs w:val="20"/>
              </w:rPr>
              <w:t>资源名称</w:t>
            </w:r>
          </w:p>
        </w:tc>
        <w:tc>
          <w:tcPr>
            <w:tcW w:w="3150"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b/>
                <w:bCs/>
                <w:sz w:val="20"/>
                <w:szCs w:val="20"/>
              </w:rPr>
            </w:pPr>
            <w:r>
              <w:rPr>
                <w:rFonts w:hint="eastAsia"/>
                <w:b/>
                <w:bCs/>
                <w:sz w:val="20"/>
                <w:szCs w:val="20"/>
              </w:rPr>
              <w:t>规格参数</w:t>
            </w:r>
          </w:p>
        </w:tc>
        <w:tc>
          <w:tcPr>
            <w:tcW w:w="750"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b/>
                <w:bCs/>
                <w:sz w:val="20"/>
                <w:szCs w:val="20"/>
              </w:rPr>
            </w:pPr>
            <w:r>
              <w:rPr>
                <w:rFonts w:hint="eastAsia"/>
                <w:b/>
                <w:bCs/>
                <w:sz w:val="20"/>
                <w:szCs w:val="20"/>
              </w:rPr>
              <w:t>数量</w:t>
            </w:r>
          </w:p>
        </w:tc>
        <w:tc>
          <w:tcPr>
            <w:tcW w:w="791"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b/>
                <w:bCs/>
                <w:sz w:val="20"/>
                <w:szCs w:val="20"/>
              </w:rPr>
            </w:pPr>
            <w:r>
              <w:rPr>
                <w:rFonts w:hint="eastAsia"/>
                <w:b/>
                <w:bCs/>
                <w:sz w:val="20"/>
                <w:szCs w:val="20"/>
              </w:rPr>
              <w:t>单位</w:t>
            </w:r>
          </w:p>
        </w:tc>
        <w:tc>
          <w:tcPr>
            <w:tcW w:w="1063"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b/>
                <w:bCs/>
                <w:sz w:val="20"/>
                <w:szCs w:val="20"/>
              </w:rPr>
            </w:pPr>
            <w:r>
              <w:rPr>
                <w:rFonts w:hint="eastAsia"/>
                <w:b/>
                <w:bCs/>
                <w:sz w:val="20"/>
                <w:szCs w:val="20"/>
              </w:rPr>
              <w:t>使用周期（年）</w:t>
            </w:r>
          </w:p>
        </w:tc>
      </w:tr>
      <w:tr>
        <w:tblPrEx>
          <w:tblCellMar>
            <w:top w:w="0" w:type="dxa"/>
            <w:left w:w="108" w:type="dxa"/>
            <w:bottom w:w="0" w:type="dxa"/>
            <w:right w:w="108" w:type="dxa"/>
          </w:tblCellMar>
        </w:tblPrEx>
        <w:trPr>
          <w:trHeight w:val="759" w:hRule="atLeast"/>
          <w:jc w:val="center"/>
        </w:trPr>
        <w:tc>
          <w:tcPr>
            <w:tcW w:w="670" w:type="dxa"/>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1</w:t>
            </w:r>
          </w:p>
        </w:tc>
        <w:tc>
          <w:tcPr>
            <w:tcW w:w="1893" w:type="dxa"/>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lang w:val="en-US" w:eastAsia="zh-CN"/>
              </w:rPr>
              <w:t>应用</w:t>
            </w:r>
            <w:r>
              <w:rPr>
                <w:rFonts w:hint="eastAsia"/>
                <w:sz w:val="20"/>
                <w:szCs w:val="20"/>
              </w:rPr>
              <w:t>服务器</w:t>
            </w:r>
          </w:p>
        </w:tc>
        <w:tc>
          <w:tcPr>
            <w:tcW w:w="3150"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CPU 8核，内存 16G，硬盘 500G（系统盘100G，数据盘400G），操作系统：linux系统</w:t>
            </w:r>
          </w:p>
        </w:tc>
        <w:tc>
          <w:tcPr>
            <w:tcW w:w="750"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2</w:t>
            </w:r>
          </w:p>
        </w:tc>
        <w:tc>
          <w:tcPr>
            <w:tcW w:w="791"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台</w:t>
            </w:r>
          </w:p>
        </w:tc>
        <w:tc>
          <w:tcPr>
            <w:tcW w:w="1063"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3</w:t>
            </w:r>
          </w:p>
        </w:tc>
      </w:tr>
      <w:tr>
        <w:tblPrEx>
          <w:tblCellMar>
            <w:top w:w="0" w:type="dxa"/>
            <w:left w:w="108" w:type="dxa"/>
            <w:bottom w:w="0" w:type="dxa"/>
            <w:right w:w="108" w:type="dxa"/>
          </w:tblCellMar>
        </w:tblPrEx>
        <w:trPr>
          <w:trHeight w:val="759" w:hRule="atLeast"/>
          <w:jc w:val="center"/>
        </w:trPr>
        <w:tc>
          <w:tcPr>
            <w:tcW w:w="670" w:type="dxa"/>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2</w:t>
            </w:r>
          </w:p>
        </w:tc>
        <w:tc>
          <w:tcPr>
            <w:tcW w:w="1893" w:type="dxa"/>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存储服务器</w:t>
            </w:r>
          </w:p>
        </w:tc>
        <w:tc>
          <w:tcPr>
            <w:tcW w:w="3150"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eastAsia"/>
                <w:sz w:val="20"/>
                <w:szCs w:val="20"/>
              </w:rPr>
            </w:pPr>
            <w:r>
              <w:rPr>
                <w:rFonts w:hint="eastAsia"/>
                <w:sz w:val="20"/>
                <w:szCs w:val="20"/>
              </w:rPr>
              <w:t>CPU</w:t>
            </w:r>
            <w:r>
              <w:rPr>
                <w:sz w:val="20"/>
                <w:szCs w:val="20"/>
              </w:rPr>
              <w:t xml:space="preserve"> 8</w:t>
            </w:r>
            <w:r>
              <w:rPr>
                <w:rFonts w:hint="eastAsia"/>
                <w:sz w:val="20"/>
                <w:szCs w:val="20"/>
              </w:rPr>
              <w:t>核，内存1</w:t>
            </w:r>
            <w:r>
              <w:rPr>
                <w:sz w:val="20"/>
                <w:szCs w:val="20"/>
              </w:rPr>
              <w:t>6</w:t>
            </w:r>
            <w:r>
              <w:rPr>
                <w:rFonts w:hint="eastAsia"/>
                <w:sz w:val="20"/>
                <w:szCs w:val="20"/>
              </w:rPr>
              <w:t>G，硬盘1</w:t>
            </w:r>
            <w:r>
              <w:rPr>
                <w:sz w:val="20"/>
                <w:szCs w:val="20"/>
              </w:rPr>
              <w:t>100</w:t>
            </w:r>
            <w:r>
              <w:rPr>
                <w:rFonts w:hint="eastAsia"/>
                <w:sz w:val="20"/>
                <w:szCs w:val="20"/>
              </w:rPr>
              <w:t>G（系统盘1</w:t>
            </w:r>
            <w:r>
              <w:rPr>
                <w:sz w:val="20"/>
                <w:szCs w:val="20"/>
              </w:rPr>
              <w:t>00</w:t>
            </w:r>
            <w:r>
              <w:rPr>
                <w:rFonts w:hint="eastAsia"/>
                <w:sz w:val="20"/>
                <w:szCs w:val="20"/>
              </w:rPr>
              <w:t>G，数据盘1</w:t>
            </w:r>
            <w:r>
              <w:rPr>
                <w:sz w:val="20"/>
                <w:szCs w:val="20"/>
              </w:rPr>
              <w:t>000</w:t>
            </w:r>
            <w:r>
              <w:rPr>
                <w:rFonts w:hint="eastAsia"/>
                <w:sz w:val="20"/>
                <w:szCs w:val="20"/>
              </w:rPr>
              <w:t>G），操作系统：linux系统</w:t>
            </w:r>
          </w:p>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3年平台交易、商品等数据存储</w:t>
            </w:r>
          </w:p>
        </w:tc>
        <w:tc>
          <w:tcPr>
            <w:tcW w:w="750"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1</w:t>
            </w:r>
          </w:p>
        </w:tc>
        <w:tc>
          <w:tcPr>
            <w:tcW w:w="791"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台</w:t>
            </w:r>
          </w:p>
        </w:tc>
        <w:tc>
          <w:tcPr>
            <w:tcW w:w="1063"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3</w:t>
            </w:r>
          </w:p>
        </w:tc>
      </w:tr>
      <w:tr>
        <w:tblPrEx>
          <w:tblCellMar>
            <w:top w:w="0" w:type="dxa"/>
            <w:left w:w="108" w:type="dxa"/>
            <w:bottom w:w="0" w:type="dxa"/>
            <w:right w:w="108" w:type="dxa"/>
          </w:tblCellMar>
        </w:tblPrEx>
        <w:trPr>
          <w:trHeight w:val="759" w:hRule="atLeast"/>
          <w:jc w:val="center"/>
        </w:trPr>
        <w:tc>
          <w:tcPr>
            <w:tcW w:w="670" w:type="dxa"/>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3</w:t>
            </w:r>
          </w:p>
        </w:tc>
        <w:tc>
          <w:tcPr>
            <w:tcW w:w="1893" w:type="dxa"/>
            <w:tcBorders>
              <w:top w:val="single" w:color="auto" w:sz="4" w:space="0"/>
              <w:left w:val="single" w:color="auto" w:sz="4" w:space="0"/>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数据库服务器</w:t>
            </w:r>
          </w:p>
        </w:tc>
        <w:tc>
          <w:tcPr>
            <w:tcW w:w="3150"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CPU 8核，内存 16G，硬盘 500G（系统盘100G，数据盘400G），操作系统：linux系统</w:t>
            </w:r>
          </w:p>
        </w:tc>
        <w:tc>
          <w:tcPr>
            <w:tcW w:w="750"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sz w:val="20"/>
                <w:szCs w:val="20"/>
              </w:rPr>
              <w:t>2</w:t>
            </w:r>
          </w:p>
        </w:tc>
        <w:tc>
          <w:tcPr>
            <w:tcW w:w="791"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台</w:t>
            </w:r>
          </w:p>
        </w:tc>
        <w:tc>
          <w:tcPr>
            <w:tcW w:w="1063" w:type="dxa"/>
            <w:tcBorders>
              <w:top w:val="single" w:color="auto" w:sz="4" w:space="0"/>
              <w:left w:val="nil"/>
              <w:bottom w:val="single" w:color="auto" w:sz="4" w:space="0"/>
              <w:righ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sz w:val="20"/>
                <w:szCs w:val="20"/>
              </w:rPr>
            </w:pPr>
            <w:r>
              <w:rPr>
                <w:rFonts w:hint="eastAsia"/>
                <w:sz w:val="20"/>
                <w:szCs w:val="20"/>
              </w:rPr>
              <w:t>3</w:t>
            </w:r>
          </w:p>
        </w:tc>
      </w:tr>
    </w:tbl>
    <w:p>
      <w:pPr>
        <w:pStyle w:val="172"/>
        <w:spacing w:before="46" w:after="93"/>
        <w:ind w:firstLine="0" w:firstLineChars="0"/>
      </w:pPr>
    </w:p>
    <w:p>
      <w:pPr>
        <w:pStyle w:val="6"/>
      </w:pPr>
      <w:bookmarkStart w:id="147" w:name="_Toc11599"/>
      <w:r>
        <w:rPr>
          <w:rFonts w:hint="eastAsia"/>
        </w:rPr>
        <w:t>服务器资源评估依据</w:t>
      </w:r>
      <w:bookmarkEnd w:id="147"/>
    </w:p>
    <w:p>
      <w:pPr>
        <w:widowControl/>
        <w:spacing w:line="401" w:lineRule="auto"/>
        <w:ind w:firstLine="480"/>
        <w:rPr>
          <w:color w:val="000000"/>
          <w:sz w:val="24"/>
        </w:rPr>
      </w:pPr>
      <w:r>
        <w:rPr>
          <w:rFonts w:hint="eastAsia"/>
          <w:color w:val="000000"/>
          <w:sz w:val="24"/>
        </w:rPr>
        <w:t>为了系统运行的独立性和稳定性，本项目需要的云服务资源如下：</w:t>
      </w:r>
    </w:p>
    <w:p>
      <w:pPr>
        <w:widowControl/>
        <w:numPr>
          <w:ilvl w:val="0"/>
          <w:numId w:val="30"/>
        </w:numPr>
        <w:spacing w:line="401" w:lineRule="auto"/>
        <w:ind w:left="0" w:leftChars="0" w:firstLine="480" w:firstLineChars="0"/>
        <w:rPr>
          <w:kern w:val="0"/>
          <w:sz w:val="24"/>
        </w:rPr>
      </w:pPr>
      <w:r>
        <w:rPr>
          <w:rFonts w:hint="eastAsia"/>
          <w:color w:val="000000"/>
          <w:kern w:val="0"/>
          <w:sz w:val="24"/>
        </w:rPr>
        <w:t>两台云</w:t>
      </w:r>
      <w:r>
        <w:rPr>
          <w:rFonts w:hint="eastAsia"/>
          <w:color w:val="000000"/>
          <w:sz w:val="24"/>
        </w:rPr>
        <w:t>服务器</w:t>
      </w:r>
      <w:r>
        <w:rPr>
          <w:rFonts w:hint="eastAsia"/>
          <w:kern w:val="0"/>
          <w:sz w:val="24"/>
        </w:rPr>
        <w:t>（做双机部署）：部署业务应用，实现系统的逻辑运算处理；</w:t>
      </w:r>
    </w:p>
    <w:p>
      <w:pPr>
        <w:widowControl/>
        <w:numPr>
          <w:ilvl w:val="0"/>
          <w:numId w:val="30"/>
        </w:numPr>
        <w:spacing w:line="401" w:lineRule="auto"/>
        <w:ind w:left="0" w:leftChars="0" w:firstLine="480" w:firstLineChars="0"/>
        <w:rPr>
          <w:kern w:val="0"/>
          <w:sz w:val="24"/>
        </w:rPr>
      </w:pPr>
      <w:r>
        <w:rPr>
          <w:rFonts w:hint="eastAsia"/>
          <w:kern w:val="0"/>
          <w:sz w:val="24"/>
        </w:rPr>
        <w:t>一台存储</w:t>
      </w:r>
      <w:r>
        <w:rPr>
          <w:rFonts w:hint="eastAsia" w:cs="宋体"/>
          <w:kern w:val="0"/>
          <w:sz w:val="24"/>
        </w:rPr>
        <w:t>服务器</w:t>
      </w:r>
      <w:r>
        <w:rPr>
          <w:rFonts w:hint="eastAsia"/>
          <w:kern w:val="0"/>
          <w:sz w:val="24"/>
        </w:rPr>
        <w:t>：电商平台专用存储设备供应，以支撑3年平台交易、商品等数据存储；</w:t>
      </w:r>
    </w:p>
    <w:p>
      <w:pPr>
        <w:widowControl/>
        <w:numPr>
          <w:ilvl w:val="0"/>
          <w:numId w:val="30"/>
        </w:numPr>
        <w:spacing w:line="401" w:lineRule="auto"/>
        <w:ind w:left="0" w:leftChars="0" w:firstLine="480" w:firstLineChars="0"/>
        <w:rPr>
          <w:rFonts w:cs="宋体"/>
          <w:kern w:val="0"/>
          <w:sz w:val="24"/>
        </w:rPr>
      </w:pPr>
      <w:r>
        <w:rPr>
          <w:rFonts w:hint="eastAsia"/>
          <w:kern w:val="0"/>
          <w:sz w:val="24"/>
        </w:rPr>
        <w:t>两台</w:t>
      </w:r>
      <w:r>
        <w:rPr>
          <w:rFonts w:hint="eastAsia" w:cs="宋体"/>
          <w:kern w:val="0"/>
          <w:sz w:val="24"/>
        </w:rPr>
        <w:t>数据库服务器：电商平台数据库供应；</w:t>
      </w:r>
    </w:p>
    <w:p>
      <w:pPr>
        <w:spacing w:line="401" w:lineRule="auto"/>
        <w:ind w:firstLine="480"/>
        <w:rPr>
          <w:lang w:val="zh-CN"/>
        </w:rPr>
      </w:pPr>
      <w:r>
        <w:rPr>
          <w:rFonts w:hint="eastAsia"/>
          <w:sz w:val="24"/>
          <w:lang w:val="zh-CN"/>
        </w:rPr>
        <w:t>为了确保系统资源的充分性、可靠性，同时又避免计算</w:t>
      </w:r>
      <w:r>
        <w:rPr>
          <w:rFonts w:hint="eastAsia"/>
          <w:sz w:val="24"/>
        </w:rPr>
        <w:t>资源的浪费，下面以“</w:t>
      </w:r>
      <w:r>
        <w:rPr>
          <w:rFonts w:hint="eastAsia"/>
          <w:color w:val="000000"/>
          <w:kern w:val="0"/>
          <w:sz w:val="24"/>
        </w:rPr>
        <w:t>云</w:t>
      </w:r>
      <w:r>
        <w:rPr>
          <w:rFonts w:hint="eastAsia"/>
          <w:color w:val="000000"/>
          <w:sz w:val="24"/>
        </w:rPr>
        <w:t>服务器</w:t>
      </w:r>
      <w:r>
        <w:rPr>
          <w:rFonts w:hint="eastAsia"/>
          <w:sz w:val="24"/>
        </w:rPr>
        <w:t>”、“</w:t>
      </w:r>
      <w:r>
        <w:rPr>
          <w:rFonts w:hint="eastAsia"/>
          <w:kern w:val="0"/>
          <w:sz w:val="24"/>
        </w:rPr>
        <w:t>数据库</w:t>
      </w:r>
      <w:r>
        <w:rPr>
          <w:rFonts w:hint="eastAsia" w:cs="宋体"/>
          <w:kern w:val="0"/>
          <w:sz w:val="24"/>
        </w:rPr>
        <w:t>服务器</w:t>
      </w:r>
      <w:r>
        <w:rPr>
          <w:rFonts w:hint="eastAsia"/>
          <w:sz w:val="24"/>
        </w:rPr>
        <w:t>”两项为例，对所需资源情况进行测算：</w:t>
      </w:r>
    </w:p>
    <w:p>
      <w:pPr>
        <w:pStyle w:val="172"/>
        <w:spacing w:before="46" w:after="93"/>
        <w:ind w:firstLine="0" w:firstLineChars="0"/>
        <w:rPr>
          <w:b/>
          <w:bCs/>
        </w:rPr>
      </w:pPr>
      <w:r>
        <w:rPr>
          <w:rFonts w:hint="eastAsia"/>
          <w:b/>
          <w:bCs/>
        </w:rPr>
        <w:t>一、云服务器</w:t>
      </w:r>
    </w:p>
    <w:tbl>
      <w:tblPr>
        <w:tblStyle w:val="34"/>
        <w:tblW w:w="8640" w:type="dxa"/>
        <w:tblInd w:w="113" w:type="dxa"/>
        <w:tblLayout w:type="fixed"/>
        <w:tblCellMar>
          <w:top w:w="0" w:type="dxa"/>
          <w:left w:w="108" w:type="dxa"/>
          <w:bottom w:w="0" w:type="dxa"/>
          <w:right w:w="108" w:type="dxa"/>
        </w:tblCellMar>
      </w:tblPr>
      <w:tblGrid>
        <w:gridCol w:w="4720"/>
        <w:gridCol w:w="1920"/>
        <w:gridCol w:w="2000"/>
      </w:tblGrid>
      <w:tr>
        <w:tblPrEx>
          <w:tblCellMar>
            <w:top w:w="0" w:type="dxa"/>
            <w:left w:w="108" w:type="dxa"/>
            <w:bottom w:w="0" w:type="dxa"/>
            <w:right w:w="108" w:type="dxa"/>
          </w:tblCellMar>
        </w:tblPrEx>
        <w:trPr>
          <w:trHeight w:val="285" w:hRule="atLeast"/>
        </w:trPr>
        <w:tc>
          <w:tcPr>
            <w:tcW w:w="4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用户数（户）</w:t>
            </w:r>
          </w:p>
        </w:tc>
        <w:tc>
          <w:tcPr>
            <w:tcW w:w="192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100000</w:t>
            </w:r>
          </w:p>
        </w:tc>
        <w:tc>
          <w:tcPr>
            <w:tcW w:w="200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预测公式：用户数×每用户月服务请求(业务办理)次数×月忙日集中系数×日忙时集中系数×每笔业务处理事物数/60/CPU使用阀值×(1+业务复杂度系数)×高峰系数</w:t>
            </w:r>
          </w:p>
        </w:tc>
      </w:tr>
      <w:tr>
        <w:tblPrEx>
          <w:tblCellMar>
            <w:top w:w="0" w:type="dxa"/>
            <w:left w:w="108" w:type="dxa"/>
            <w:bottom w:w="0" w:type="dxa"/>
            <w:right w:w="108" w:type="dxa"/>
          </w:tblCellMar>
        </w:tblPrEx>
        <w:trPr>
          <w:trHeight w:val="720"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每月业务请求次数（次）</w:t>
            </w:r>
            <w:r>
              <w:rPr>
                <w:rFonts w:hint="eastAsia" w:ascii="宋体" w:hAnsi="宋体" w:cs="宋体"/>
                <w:kern w:val="0"/>
                <w:sz w:val="20"/>
              </w:rPr>
              <w:br w:type="textWrapping"/>
            </w:r>
            <w:r>
              <w:rPr>
                <w:rFonts w:hint="eastAsia" w:ascii="宋体" w:hAnsi="宋体" w:cs="宋体"/>
                <w:kern w:val="0"/>
                <w:sz w:val="20"/>
              </w:rPr>
              <w:t>(电商平台业务+运营业务+运营人员进行查询、统计、分析等等全部业务)</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0.3</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每笔业务对应的处理事物数(tpmC)</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50</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月、日忙时集中系数（百分比）</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25%</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CPU使用阀值（百分比）</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50%</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业务复杂度系数（百分比）</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60%</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480"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业务高峰系数</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7</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b/>
                <w:bCs/>
                <w:kern w:val="0"/>
                <w:sz w:val="20"/>
              </w:rPr>
            </w:pPr>
            <w:r>
              <w:rPr>
                <w:rFonts w:hint="eastAsia" w:ascii="宋体" w:hAnsi="宋体" w:cs="宋体"/>
                <w:b/>
                <w:bCs/>
                <w:kern w:val="0"/>
                <w:sz w:val="20"/>
              </w:rPr>
              <w:t>应用服务器主机性能需求(tpmC)</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b/>
                <w:bCs/>
                <w:kern w:val="0"/>
                <w:sz w:val="20"/>
              </w:rPr>
            </w:pPr>
            <w:r>
              <w:rPr>
                <w:rFonts w:hint="eastAsia" w:ascii="宋体" w:hAnsi="宋体" w:cs="宋体"/>
                <w:b/>
                <w:bCs/>
                <w:kern w:val="0"/>
                <w:sz w:val="20"/>
              </w:rPr>
              <w:t xml:space="preserve">115316 </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bl>
    <w:p>
      <w:pPr>
        <w:spacing w:line="401" w:lineRule="auto"/>
        <w:ind w:firstLine="482"/>
        <w:rPr>
          <w:lang w:val="zh-CN"/>
        </w:rPr>
      </w:pPr>
      <w:r>
        <w:rPr>
          <w:rFonts w:hint="eastAsia"/>
          <w:sz w:val="24"/>
          <w:lang w:val="zh-CN"/>
        </w:rPr>
        <w:t>一台</w:t>
      </w:r>
      <w:r>
        <w:rPr>
          <w:rFonts w:hint="eastAsia"/>
          <w:sz w:val="24"/>
        </w:rPr>
        <w:t>8</w:t>
      </w:r>
      <w:r>
        <w:rPr>
          <w:rFonts w:hint="eastAsia"/>
          <w:sz w:val="24"/>
          <w:lang w:val="zh-CN"/>
        </w:rPr>
        <w:t>核</w:t>
      </w:r>
      <w:r>
        <w:rPr>
          <w:rFonts w:hint="eastAsia"/>
          <w:sz w:val="24"/>
        </w:rPr>
        <w:t>16</w:t>
      </w:r>
      <w:r>
        <w:rPr>
          <w:rFonts w:hint="eastAsia"/>
          <w:sz w:val="24"/>
          <w:lang w:val="zh-CN"/>
        </w:rPr>
        <w:t>G云</w:t>
      </w:r>
      <w:r>
        <w:rPr>
          <w:rFonts w:hint="eastAsia"/>
          <w:sz w:val="24"/>
        </w:rPr>
        <w:t>服务器</w:t>
      </w:r>
      <w:r>
        <w:rPr>
          <w:rFonts w:hint="eastAsia"/>
          <w:sz w:val="24"/>
          <w:lang w:val="zh-CN"/>
        </w:rPr>
        <w:t>的计算能力大概在</w:t>
      </w:r>
      <w:r>
        <w:rPr>
          <w:rFonts w:hint="eastAsia"/>
          <w:sz w:val="24"/>
        </w:rPr>
        <w:t>1</w:t>
      </w:r>
      <w:r>
        <w:rPr>
          <w:rFonts w:hint="eastAsia"/>
          <w:sz w:val="24"/>
          <w:lang w:val="en-US" w:eastAsia="zh-CN"/>
        </w:rPr>
        <w:t>2</w:t>
      </w:r>
      <w:r>
        <w:rPr>
          <w:rFonts w:hint="eastAsia"/>
          <w:sz w:val="24"/>
          <w:lang w:val="zh-CN"/>
        </w:rPr>
        <w:t>万tpmC，因此，为了确保核心数据库的高峰并发处理能力，并保证数据的安全性，采用两台同等配置服务器作为业务应用服务器。</w:t>
      </w:r>
    </w:p>
    <w:p>
      <w:pPr>
        <w:pStyle w:val="172"/>
        <w:spacing w:before="46" w:after="93"/>
        <w:ind w:firstLine="0" w:firstLineChars="0"/>
        <w:rPr>
          <w:b/>
          <w:bCs/>
        </w:rPr>
      </w:pPr>
      <w:r>
        <w:rPr>
          <w:rFonts w:hint="eastAsia"/>
          <w:b/>
          <w:bCs/>
        </w:rPr>
        <w:t>二、数据库服务器测算</w:t>
      </w:r>
    </w:p>
    <w:tbl>
      <w:tblPr>
        <w:tblStyle w:val="34"/>
        <w:tblW w:w="8640" w:type="dxa"/>
        <w:tblInd w:w="0" w:type="dxa"/>
        <w:tblLayout w:type="fixed"/>
        <w:tblCellMar>
          <w:top w:w="0" w:type="dxa"/>
          <w:left w:w="108" w:type="dxa"/>
          <w:bottom w:w="0" w:type="dxa"/>
          <w:right w:w="108" w:type="dxa"/>
        </w:tblCellMar>
      </w:tblPr>
      <w:tblGrid>
        <w:gridCol w:w="4720"/>
        <w:gridCol w:w="1920"/>
        <w:gridCol w:w="2000"/>
      </w:tblGrid>
      <w:tr>
        <w:tblPrEx>
          <w:tblCellMar>
            <w:top w:w="0" w:type="dxa"/>
            <w:left w:w="108" w:type="dxa"/>
            <w:bottom w:w="0" w:type="dxa"/>
            <w:right w:w="108" w:type="dxa"/>
          </w:tblCellMar>
        </w:tblPrEx>
        <w:trPr>
          <w:trHeight w:val="285" w:hRule="atLeast"/>
        </w:trPr>
        <w:tc>
          <w:tcPr>
            <w:tcW w:w="4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用户数（户）</w:t>
            </w:r>
          </w:p>
        </w:tc>
        <w:tc>
          <w:tcPr>
            <w:tcW w:w="192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100000</w:t>
            </w:r>
          </w:p>
        </w:tc>
        <w:tc>
          <w:tcPr>
            <w:tcW w:w="200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预测公式：用户数×每用户月服务请求(业务办理)次数×月忙日集中系数×日忙时集中系数×每笔业务处理事物数/60/CPU使用阀值×(1+业务复杂度系数)×高峰系数</w:t>
            </w:r>
          </w:p>
        </w:tc>
      </w:tr>
      <w:tr>
        <w:tblPrEx>
          <w:tblCellMar>
            <w:top w:w="0" w:type="dxa"/>
            <w:left w:w="108" w:type="dxa"/>
            <w:bottom w:w="0" w:type="dxa"/>
            <w:right w:w="108" w:type="dxa"/>
          </w:tblCellMar>
        </w:tblPrEx>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每用户月业务办理请求次数（次）</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0.</w:t>
            </w:r>
            <w:r>
              <w:rPr>
                <w:rFonts w:ascii="宋体" w:hAnsi="宋体" w:cs="宋体"/>
                <w:kern w:val="0"/>
                <w:sz w:val="20"/>
              </w:rPr>
              <w:t>2</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每笔业务办理对应的处理事物数(tpmC)</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ascii="宋体" w:hAnsi="宋体" w:cs="宋体"/>
                <w:kern w:val="0"/>
                <w:sz w:val="20"/>
              </w:rPr>
              <w:t>46</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每用户月查询次数（次）</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0.</w:t>
            </w:r>
            <w:r>
              <w:rPr>
                <w:rFonts w:ascii="宋体" w:hAnsi="宋体" w:cs="宋体"/>
                <w:kern w:val="0"/>
                <w:sz w:val="20"/>
              </w:rPr>
              <w:t>2</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每笔业务查询对应的处理事物数(tpmC)</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15</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每用户月统计次数（次）</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0.</w:t>
            </w:r>
            <w:r>
              <w:rPr>
                <w:rFonts w:ascii="宋体" w:hAnsi="宋体" w:cs="宋体"/>
                <w:kern w:val="0"/>
                <w:sz w:val="20"/>
              </w:rPr>
              <w:t>4</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300" w:hRule="atLeast"/>
        </w:trPr>
        <w:tc>
          <w:tcPr>
            <w:tcW w:w="4720" w:type="dxa"/>
            <w:tcBorders>
              <w:top w:val="nil"/>
              <w:left w:val="single" w:color="auto" w:sz="8" w:space="0"/>
              <w:bottom w:val="single" w:color="auto" w:sz="8"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每笔业务统计对应的处理事物数(tpmC)</w:t>
            </w:r>
          </w:p>
        </w:tc>
        <w:tc>
          <w:tcPr>
            <w:tcW w:w="19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2</w:t>
            </w:r>
            <w:r>
              <w:rPr>
                <w:rFonts w:ascii="宋体" w:hAnsi="宋体" w:cs="宋体"/>
                <w:kern w:val="0"/>
                <w:sz w:val="20"/>
              </w:rPr>
              <w:t>0</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285" w:hRule="atLeast"/>
        </w:trPr>
        <w:tc>
          <w:tcPr>
            <w:tcW w:w="4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月、日忙时集中系数（百分比）</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25%</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CPU使用阀值（百分比）</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50%</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业务复杂度系数（百分比）</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60%</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r>
              <w:rPr>
                <w:rFonts w:hint="eastAsia" w:ascii="宋体" w:hAnsi="宋体" w:cs="宋体"/>
                <w:kern w:val="0"/>
                <w:sz w:val="20"/>
              </w:rPr>
              <w:t>业务高峰系数</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kern w:val="0"/>
                <w:sz w:val="20"/>
              </w:rPr>
            </w:pPr>
            <w:r>
              <w:rPr>
                <w:rFonts w:hint="eastAsia" w:ascii="宋体" w:hAnsi="宋体" w:cs="宋体"/>
                <w:kern w:val="0"/>
                <w:sz w:val="20"/>
              </w:rPr>
              <w:t>7</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r>
        <w:tblPrEx>
          <w:tblCellMar>
            <w:top w:w="0" w:type="dxa"/>
            <w:left w:w="108" w:type="dxa"/>
            <w:bottom w:w="0" w:type="dxa"/>
            <w:right w:w="108" w:type="dxa"/>
          </w:tblCellMar>
        </w:tblPrEx>
        <w:trPr>
          <w:trHeight w:val="285" w:hRule="atLeast"/>
        </w:trPr>
        <w:tc>
          <w:tcPr>
            <w:tcW w:w="47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b/>
                <w:bCs/>
                <w:kern w:val="0"/>
                <w:sz w:val="20"/>
              </w:rPr>
            </w:pPr>
            <w:r>
              <w:rPr>
                <w:rFonts w:hint="eastAsia" w:ascii="宋体" w:hAnsi="宋体" w:cs="宋体"/>
                <w:b/>
                <w:bCs/>
                <w:kern w:val="0"/>
                <w:sz w:val="20"/>
              </w:rPr>
              <w:t>数据库服务器主机性能需求(tpmC)</w:t>
            </w:r>
          </w:p>
        </w:tc>
        <w:tc>
          <w:tcPr>
            <w:tcW w:w="19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宋体" w:hAnsi="宋体" w:cs="宋体"/>
                <w:b/>
                <w:bCs/>
                <w:kern w:val="0"/>
                <w:sz w:val="20"/>
              </w:rPr>
            </w:pPr>
            <w:r>
              <w:rPr>
                <w:rFonts w:hint="eastAsia" w:ascii="宋体" w:hAnsi="宋体" w:cs="宋体"/>
                <w:b/>
                <w:bCs/>
                <w:kern w:val="0"/>
                <w:sz w:val="20"/>
              </w:rPr>
              <w:t xml:space="preserve">94894 </w:t>
            </w:r>
          </w:p>
        </w:tc>
        <w:tc>
          <w:tcPr>
            <w:tcW w:w="20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宋体" w:hAnsi="宋体" w:cs="宋体"/>
                <w:kern w:val="0"/>
                <w:sz w:val="20"/>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sz w:val="24"/>
          <w:lang w:val="zh-CN"/>
        </w:rPr>
      </w:pPr>
      <w:r>
        <w:rPr>
          <w:rFonts w:hint="eastAsia"/>
          <w:sz w:val="24"/>
          <w:lang w:val="zh-CN"/>
        </w:rPr>
        <w:t>一台</w:t>
      </w:r>
      <w:r>
        <w:rPr>
          <w:rFonts w:hint="eastAsia"/>
          <w:sz w:val="24"/>
        </w:rPr>
        <w:t>8</w:t>
      </w:r>
      <w:r>
        <w:rPr>
          <w:rFonts w:hint="eastAsia"/>
          <w:sz w:val="24"/>
          <w:lang w:val="zh-CN"/>
        </w:rPr>
        <w:t>核</w:t>
      </w:r>
      <w:r>
        <w:rPr>
          <w:rFonts w:hint="eastAsia"/>
          <w:sz w:val="24"/>
        </w:rPr>
        <w:t>16</w:t>
      </w:r>
      <w:r>
        <w:rPr>
          <w:rFonts w:hint="eastAsia"/>
          <w:sz w:val="24"/>
          <w:lang w:val="zh-CN"/>
        </w:rPr>
        <w:t>G</w:t>
      </w:r>
      <w:r>
        <w:rPr>
          <w:rFonts w:hint="eastAsia"/>
          <w:sz w:val="24"/>
        </w:rPr>
        <w:t>数据库服务器</w:t>
      </w:r>
      <w:r>
        <w:rPr>
          <w:rFonts w:hint="eastAsia"/>
          <w:sz w:val="24"/>
          <w:lang w:val="zh-CN"/>
        </w:rPr>
        <w:t>的计算能力大概在</w:t>
      </w:r>
      <w:r>
        <w:rPr>
          <w:sz w:val="24"/>
        </w:rPr>
        <w:t>1</w:t>
      </w:r>
      <w:r>
        <w:rPr>
          <w:rFonts w:hint="eastAsia"/>
          <w:sz w:val="24"/>
          <w:lang w:val="en-US" w:eastAsia="zh-CN"/>
        </w:rPr>
        <w:t>2</w:t>
      </w:r>
      <w:r>
        <w:rPr>
          <w:rFonts w:hint="eastAsia"/>
          <w:sz w:val="24"/>
          <w:lang w:val="zh-CN"/>
        </w:rPr>
        <w:t>万tpmC，因此，为了确保核心数据库的高峰并发处理能力，并保证数据的安全性，采用</w:t>
      </w:r>
      <w:r>
        <w:rPr>
          <w:rFonts w:hint="eastAsia"/>
          <w:sz w:val="24"/>
        </w:rPr>
        <w:t>两</w:t>
      </w:r>
      <w:r>
        <w:rPr>
          <w:rFonts w:hint="eastAsia"/>
          <w:sz w:val="24"/>
          <w:lang w:val="zh-CN"/>
        </w:rPr>
        <w:t>台</w:t>
      </w:r>
      <w:r>
        <w:rPr>
          <w:rFonts w:hint="eastAsia"/>
          <w:sz w:val="24"/>
        </w:rPr>
        <w:t>数据库</w:t>
      </w:r>
      <w:r>
        <w:rPr>
          <w:rFonts w:hint="eastAsia"/>
          <w:sz w:val="24"/>
          <w:lang w:val="zh-CN"/>
        </w:rPr>
        <w:t>服务器作为数据库服务器。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sz w:val="24"/>
          <w:lang w:val="zh-CN"/>
        </w:rPr>
      </w:pPr>
      <w:r>
        <w:rPr>
          <w:rFonts w:hint="eastAsia"/>
          <w:sz w:val="24"/>
          <w:lang w:val="zh-CN"/>
        </w:rPr>
        <w:t>其他相关服务器测算过程相似。</w:t>
      </w:r>
    </w:p>
    <w:p>
      <w:pPr>
        <w:pStyle w:val="172"/>
        <w:spacing w:before="46" w:after="93"/>
        <w:ind w:firstLine="0" w:firstLineChars="0"/>
        <w:rPr>
          <w:b/>
          <w:bCs/>
        </w:rPr>
      </w:pPr>
      <w:r>
        <w:rPr>
          <w:rFonts w:hint="eastAsia"/>
          <w:b/>
          <w:bCs/>
        </w:rPr>
        <w:t>三、数据库服务器存储测算</w:t>
      </w:r>
    </w:p>
    <w:p>
      <w:pPr>
        <w:pStyle w:val="173"/>
        <w:spacing w:line="401" w:lineRule="auto"/>
        <w:ind w:left="418" w:leftChars="174" w:firstLine="0" w:firstLineChars="0"/>
        <w:jc w:val="left"/>
        <w:rPr>
          <w:rFonts w:ascii="宋体" w:hAnsi="宋体"/>
          <w:b/>
          <w:bCs/>
          <w:sz w:val="24"/>
        </w:rPr>
      </w:pPr>
      <w:r>
        <w:rPr>
          <w:rFonts w:hint="eastAsia" w:ascii="宋体" w:hAnsi="宋体"/>
          <w:b/>
          <w:bCs/>
          <w:sz w:val="24"/>
        </w:rPr>
        <w:t>1.数据盘使用用途</w:t>
      </w:r>
    </w:p>
    <w:p>
      <w:pPr>
        <w:spacing w:line="401" w:lineRule="auto"/>
        <w:ind w:left="19" w:leftChars="8" w:firstLine="398" w:firstLineChars="166"/>
        <w:jc w:val="left"/>
        <w:rPr>
          <w:rFonts w:ascii="宋体" w:hAnsi="宋体"/>
          <w:sz w:val="24"/>
        </w:rPr>
      </w:pPr>
      <w:r>
        <w:rPr>
          <w:rFonts w:hint="eastAsia" w:ascii="宋体" w:hAnsi="宋体"/>
          <w:sz w:val="24"/>
        </w:rPr>
        <w:t>用于系统平台的相关数据文件存储。</w:t>
      </w:r>
    </w:p>
    <w:p>
      <w:pPr>
        <w:spacing w:line="401" w:lineRule="auto"/>
        <w:ind w:left="19" w:leftChars="8" w:firstLine="400" w:firstLineChars="166"/>
        <w:jc w:val="left"/>
        <w:rPr>
          <w:rFonts w:ascii="宋体" w:hAnsi="宋体"/>
          <w:b/>
          <w:bCs/>
          <w:sz w:val="24"/>
        </w:rPr>
      </w:pPr>
      <w:r>
        <w:rPr>
          <w:rFonts w:hint="eastAsia" w:ascii="宋体" w:hAnsi="宋体"/>
          <w:b/>
          <w:bCs/>
          <w:sz w:val="24"/>
        </w:rPr>
        <w:t>2.数据盘使用情况</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sz w:val="24"/>
          <w:lang w:val="zh-CN"/>
        </w:rPr>
      </w:pPr>
      <w:r>
        <w:rPr>
          <w:rFonts w:hint="eastAsia"/>
          <w:sz w:val="24"/>
          <w:lang w:val="zh-CN"/>
        </w:rPr>
        <w:t>数据库磁盘使用将依据目前和平县农副产品展销平台实际使用情况进行评估。电商系统主要包括商城使用，查询，运营等过程数据，目前数据、索引、临时空间等大致使用540G存储。</w:t>
      </w:r>
    </w:p>
    <w:p>
      <w:pPr>
        <w:spacing w:line="401" w:lineRule="auto"/>
        <w:ind w:left="19" w:leftChars="8" w:firstLine="400" w:firstLineChars="166"/>
        <w:jc w:val="left"/>
        <w:rPr>
          <w:rFonts w:ascii="宋体" w:hAnsi="宋体"/>
          <w:b/>
          <w:bCs/>
          <w:sz w:val="24"/>
        </w:rPr>
      </w:pPr>
      <w:r>
        <w:rPr>
          <w:rFonts w:hint="eastAsia" w:ascii="宋体" w:hAnsi="宋体"/>
          <w:b/>
          <w:bCs/>
          <w:sz w:val="24"/>
        </w:rPr>
        <w:t>3.数据盘申请总量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sz w:val="24"/>
          <w:lang w:val="zh-CN"/>
        </w:rPr>
      </w:pPr>
      <w:r>
        <w:rPr>
          <w:rFonts w:hint="eastAsia"/>
          <w:sz w:val="24"/>
          <w:lang w:val="zh-CN"/>
        </w:rPr>
        <w:t>据统计和平县近年来数据量增长率为20%，为保障三年稳定运行，将按照以下推算结果进行磁盘存储申请。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sz w:val="24"/>
          <w:lang w:val="zh-CN"/>
        </w:rPr>
      </w:pPr>
      <w:r>
        <w:rPr>
          <w:rFonts w:hint="eastAsia"/>
          <w:sz w:val="24"/>
          <w:lang w:val="zh-CN"/>
        </w:rPr>
        <w:t>和平县农副产品展销平台数据存储≈540G。</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sz w:val="24"/>
          <w:lang w:val="zh-CN"/>
        </w:rPr>
      </w:pPr>
      <w:r>
        <w:rPr>
          <w:rFonts w:hint="eastAsia"/>
          <w:sz w:val="24"/>
          <w:lang w:val="zh-CN"/>
        </w:rPr>
        <w:t>第一年磁盘存储=540+540*20%=540+108=648G。</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sz w:val="24"/>
          <w:lang w:val="zh-CN"/>
        </w:rPr>
      </w:pPr>
      <w:r>
        <w:rPr>
          <w:rFonts w:hint="eastAsia"/>
          <w:sz w:val="24"/>
          <w:lang w:val="zh-CN"/>
        </w:rPr>
        <w:t>第二年磁盘存储=648+648*20%=648+129.6=777.6G。</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sz w:val="24"/>
          <w:lang w:val="zh-CN"/>
        </w:rPr>
      </w:pPr>
      <w:r>
        <w:rPr>
          <w:rFonts w:hint="eastAsia"/>
          <w:sz w:val="24"/>
          <w:lang w:val="zh-CN"/>
        </w:rPr>
        <w:t>第三年磁盘存储=777.6+777.6*20%=777.6+155.5=933.1G。</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sz w:val="24"/>
          <w:lang w:val="zh-CN"/>
        </w:rPr>
      </w:pPr>
      <w:r>
        <w:rPr>
          <w:rFonts w:hint="eastAsia"/>
          <w:sz w:val="24"/>
          <w:lang w:val="zh-CN"/>
        </w:rPr>
        <w:t>和平县农副产品展销平台磁盘存储=540G+108G+129.6G+155.5G≈1000G。</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sz w:val="24"/>
          <w:lang w:val="zh-CN"/>
        </w:rPr>
      </w:pPr>
      <w:r>
        <w:rPr>
          <w:rFonts w:hint="eastAsia"/>
          <w:sz w:val="24"/>
          <w:lang w:val="zh-CN"/>
        </w:rPr>
        <w:t>按以上估算，和平县农副产品展销平台数据库服务器磁盘存储需1000G。</w:t>
      </w:r>
    </w:p>
    <w:p>
      <w:pPr>
        <w:pStyle w:val="6"/>
        <w:bidi w:val="0"/>
      </w:pPr>
      <w:r>
        <w:rPr>
          <w:rFonts w:hint="eastAsia"/>
          <w:lang w:val="en-US" w:eastAsia="zh-CN"/>
        </w:rPr>
        <w:t>国产适配</w:t>
      </w:r>
    </w:p>
    <w:p>
      <w:pPr>
        <w:keepNext w:val="0"/>
        <w:keepLines w:val="0"/>
        <w:pageBreakBefore w:val="0"/>
        <w:widowControl w:val="0"/>
        <w:kinsoku/>
        <w:wordWrap/>
        <w:overflowPunct/>
        <w:topLinePunct w:val="0"/>
        <w:autoSpaceDE/>
        <w:autoSpaceDN/>
        <w:bidi w:val="0"/>
        <w:adjustRightInd/>
        <w:snapToGrid/>
        <w:ind w:firstLine="566" w:firstLineChars="236"/>
        <w:textAlignment w:val="auto"/>
        <w:rPr>
          <w:rFonts w:hint="eastAsia" w:ascii="宋体" w:hAnsi="宋体"/>
          <w:lang w:val="en-US" w:eastAsia="zh-CN"/>
        </w:rPr>
      </w:pPr>
      <w:r>
        <w:rPr>
          <w:rFonts w:hint="eastAsia"/>
          <w:lang w:val="en-US" w:eastAsia="zh-CN"/>
        </w:rPr>
        <w:t>本期项目</w:t>
      </w:r>
      <w:r>
        <w:rPr>
          <w:rFonts w:hint="eastAsia" w:ascii="宋体" w:hAnsi="宋体"/>
          <w:lang w:val="en-US" w:eastAsia="zh-CN"/>
        </w:rPr>
        <w:t>对平台国产化适配提出要求。</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rPr>
      </w:pPr>
      <w:r>
        <w:rPr>
          <w:rFonts w:hint="eastAsia" w:ascii="宋体" w:hAnsi="宋体"/>
        </w:rPr>
        <w:t>（1）全面支持主流处理器架构</w:t>
      </w:r>
    </w:p>
    <w:p>
      <w:pPr>
        <w:keepNext w:val="0"/>
        <w:keepLines w:val="0"/>
        <w:pageBreakBefore w:val="0"/>
        <w:widowControl w:val="0"/>
        <w:kinsoku/>
        <w:wordWrap/>
        <w:overflowPunct/>
        <w:topLinePunct w:val="0"/>
        <w:autoSpaceDE/>
        <w:autoSpaceDN/>
        <w:bidi w:val="0"/>
        <w:adjustRightInd/>
        <w:snapToGrid/>
        <w:ind w:firstLine="566" w:firstLineChars="236"/>
        <w:textAlignment w:val="auto"/>
        <w:rPr>
          <w:rFonts w:hint="eastAsia" w:ascii="宋体" w:hAnsi="宋体"/>
        </w:rPr>
      </w:pPr>
      <w:r>
        <w:rPr>
          <w:rFonts w:hint="eastAsia"/>
          <w:lang w:val="en-US" w:eastAsia="zh-CN"/>
        </w:rPr>
        <w:t>需</w:t>
      </w:r>
      <w:r>
        <w:rPr>
          <w:rFonts w:hint="eastAsia" w:ascii="宋体" w:hAnsi="宋体"/>
        </w:rPr>
        <w:t>支持amd64（如：国内海光、兆芯，国外Intel、AMD）、arm64（如：国内海思麒麟、飞腾）、mips64（如：国内龙芯）</w:t>
      </w:r>
      <w:r>
        <w:rPr>
          <w:rFonts w:hint="eastAsia" w:ascii="宋体" w:hAnsi="宋体"/>
          <w:lang w:val="en-US" w:eastAsia="zh-CN"/>
        </w:rPr>
        <w:t>等主流</w:t>
      </w:r>
      <w:r>
        <w:rPr>
          <w:rFonts w:hint="eastAsia" w:ascii="宋体" w:hAnsi="宋体"/>
        </w:rPr>
        <w:t>架构处理器。</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rPr>
      </w:pPr>
      <w:r>
        <w:rPr>
          <w:rFonts w:hint="eastAsia" w:ascii="宋体" w:hAnsi="宋体"/>
        </w:rPr>
        <w:t>（2）操作系统支持</w:t>
      </w:r>
    </w:p>
    <w:p>
      <w:pPr>
        <w:keepNext w:val="0"/>
        <w:keepLines w:val="0"/>
        <w:pageBreakBefore w:val="0"/>
        <w:widowControl w:val="0"/>
        <w:kinsoku/>
        <w:wordWrap/>
        <w:overflowPunct/>
        <w:topLinePunct w:val="0"/>
        <w:autoSpaceDE/>
        <w:autoSpaceDN/>
        <w:bidi w:val="0"/>
        <w:adjustRightInd/>
        <w:snapToGrid/>
        <w:ind w:firstLine="566" w:firstLineChars="236"/>
        <w:textAlignment w:val="auto"/>
        <w:rPr>
          <w:rFonts w:hint="eastAsia" w:ascii="宋体" w:hAnsi="宋体"/>
        </w:rPr>
      </w:pPr>
      <w:r>
        <w:rPr>
          <w:rFonts w:hint="eastAsia" w:ascii="宋体" w:hAnsi="宋体"/>
        </w:rPr>
        <w:t>国产代表操作系统有统信UOS、中标麒麟、银河麒麟、中兴新支点等操作系统。</w:t>
      </w:r>
    </w:p>
    <w:p>
      <w:pPr>
        <w:keepNext w:val="0"/>
        <w:keepLines w:val="0"/>
        <w:pageBreakBefore w:val="0"/>
        <w:widowControl w:val="0"/>
        <w:kinsoku/>
        <w:wordWrap/>
        <w:overflowPunct/>
        <w:topLinePunct w:val="0"/>
        <w:autoSpaceDE/>
        <w:autoSpaceDN/>
        <w:bidi w:val="0"/>
        <w:adjustRightInd/>
        <w:snapToGrid/>
        <w:ind w:firstLine="566" w:firstLineChars="236"/>
        <w:textAlignment w:val="auto"/>
        <w:rPr>
          <w:rFonts w:hint="eastAsia" w:ascii="宋体" w:hAnsi="宋体"/>
        </w:rPr>
      </w:pPr>
      <w:r>
        <w:rPr>
          <w:rFonts w:hint="eastAsia"/>
          <w:lang w:val="en-US" w:eastAsia="zh-CN"/>
        </w:rPr>
        <w:t>需</w:t>
      </w:r>
      <w:r>
        <w:rPr>
          <w:rFonts w:hint="eastAsia" w:ascii="宋体" w:hAnsi="宋体"/>
        </w:rPr>
        <w:t>支持在</w:t>
      </w:r>
      <w:r>
        <w:rPr>
          <w:rFonts w:hint="eastAsia"/>
          <w:lang w:val="en-US" w:eastAsia="zh-CN"/>
        </w:rPr>
        <w:t>主流国产</w:t>
      </w:r>
      <w:r>
        <w:rPr>
          <w:rFonts w:hint="eastAsia" w:ascii="宋体" w:hAnsi="宋体"/>
        </w:rPr>
        <w:t>服务器操作系统上进行安装，并通过</w:t>
      </w:r>
      <w:r>
        <w:rPr>
          <w:rFonts w:hint="eastAsia"/>
          <w:lang w:val="en-US" w:eastAsia="zh-CN"/>
        </w:rPr>
        <w:t>国产主流</w:t>
      </w:r>
      <w:r>
        <w:rPr>
          <w:rFonts w:hint="eastAsia" w:ascii="宋体" w:hAnsi="宋体"/>
        </w:rPr>
        <w:t>桌面操作系统客户端进行访问。</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rPr>
      </w:pPr>
      <w:r>
        <w:rPr>
          <w:rFonts w:hint="eastAsia" w:ascii="宋体" w:hAnsi="宋体"/>
        </w:rPr>
        <w:t>（</w:t>
      </w:r>
      <w:r>
        <w:rPr>
          <w:rFonts w:hint="eastAsia" w:ascii="宋体" w:hAnsi="宋体"/>
          <w:lang w:val="en-US" w:eastAsia="zh-CN"/>
        </w:rPr>
        <w:t>3</w:t>
      </w:r>
      <w:r>
        <w:rPr>
          <w:rFonts w:hint="eastAsia" w:ascii="宋体" w:hAnsi="宋体"/>
        </w:rPr>
        <w:t>）中间件支持</w:t>
      </w:r>
    </w:p>
    <w:p>
      <w:pPr>
        <w:keepNext w:val="0"/>
        <w:keepLines w:val="0"/>
        <w:pageBreakBefore w:val="0"/>
        <w:widowControl w:val="0"/>
        <w:kinsoku/>
        <w:wordWrap/>
        <w:overflowPunct/>
        <w:topLinePunct w:val="0"/>
        <w:autoSpaceDE/>
        <w:autoSpaceDN/>
        <w:bidi w:val="0"/>
        <w:adjustRightInd/>
        <w:snapToGrid/>
        <w:ind w:firstLine="566" w:firstLineChars="236"/>
        <w:textAlignment w:val="auto"/>
        <w:rPr>
          <w:rFonts w:hint="eastAsia" w:ascii="宋体" w:hAnsi="宋体"/>
        </w:rPr>
      </w:pPr>
      <w:r>
        <w:rPr>
          <w:rFonts w:hint="eastAsia"/>
          <w:lang w:val="en-US" w:eastAsia="zh-CN"/>
        </w:rPr>
        <w:t>需</w:t>
      </w:r>
      <w:r>
        <w:rPr>
          <w:rFonts w:hint="eastAsia" w:ascii="宋体" w:hAnsi="宋体"/>
        </w:rPr>
        <w:t>适配国产主流中间件东方通、金蝶</w:t>
      </w:r>
      <w:r>
        <w:rPr>
          <w:rFonts w:hint="eastAsia"/>
          <w:lang w:val="en-US" w:eastAsia="zh-CN"/>
        </w:rPr>
        <w:t>等</w:t>
      </w:r>
      <w:r>
        <w:rPr>
          <w:rFonts w:hint="eastAsia" w:ascii="宋体" w:hAnsi="宋体"/>
        </w:rPr>
        <w:t>。为业务系统提供安全、可靠、稳定的运行环境。</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rPr>
      </w:pPr>
      <w:r>
        <w:rPr>
          <w:rFonts w:hint="eastAsia" w:ascii="宋体" w:hAnsi="宋体"/>
        </w:rPr>
        <w:t>（</w:t>
      </w:r>
      <w:r>
        <w:rPr>
          <w:rFonts w:hint="eastAsia" w:ascii="宋体" w:hAnsi="宋体"/>
          <w:lang w:val="en-US" w:eastAsia="zh-CN"/>
        </w:rPr>
        <w:t>4</w:t>
      </w:r>
      <w:r>
        <w:rPr>
          <w:rFonts w:hint="eastAsia" w:ascii="宋体" w:hAnsi="宋体"/>
        </w:rPr>
        <w:t>）数据库支持</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rPr>
      </w:pPr>
      <w:r>
        <w:rPr>
          <w:rFonts w:hint="eastAsia" w:ascii="宋体" w:hAnsi="宋体" w:cs="Times New Roman"/>
          <w:sz w:val="24"/>
          <w:lang w:val="en-US" w:eastAsia="zh-CN"/>
        </w:rPr>
        <w:t>需</w:t>
      </w:r>
      <w:r>
        <w:rPr>
          <w:rFonts w:hint="eastAsia" w:ascii="宋体" w:hAnsi="宋体" w:eastAsia="宋体" w:cs="Times New Roman"/>
          <w:sz w:val="24"/>
          <w:lang w:val="en-US" w:eastAsia="zh-CN"/>
        </w:rPr>
        <w:t>支持国产主流人大金仓、达梦等主流数据库的适配。</w:t>
      </w:r>
    </w:p>
    <w:bookmarkEnd w:id="146"/>
    <w:p>
      <w:pPr>
        <w:pStyle w:val="3"/>
        <w:tabs>
          <w:tab w:val="clear" w:pos="3402"/>
          <w:tab w:val="clear" w:pos="3828"/>
        </w:tabs>
        <w:rPr>
          <w:rFonts w:ascii="Times New Roman" w:hAnsi="Times New Roman"/>
          <w:color w:val="000000" w:themeColor="text1"/>
          <w:szCs w:val="32"/>
          <w14:textFill>
            <w14:solidFill>
              <w14:schemeClr w14:val="tx1"/>
            </w14:solidFill>
          </w14:textFill>
        </w:rPr>
      </w:pPr>
      <w:bookmarkStart w:id="148" w:name="_Toc2444"/>
      <w:r>
        <w:rPr>
          <w:rFonts w:hint="eastAsia" w:ascii="Times New Roman" w:hAnsi="Times New Roman"/>
          <w:color w:val="000000" w:themeColor="text1"/>
          <w:szCs w:val="32"/>
          <w14:textFill>
            <w14:solidFill>
              <w14:schemeClr w14:val="tx1"/>
            </w14:solidFill>
          </w14:textFill>
        </w:rPr>
        <w:t>项目本期数据资源</w:t>
      </w:r>
      <w:bookmarkEnd w:id="141"/>
      <w:bookmarkEnd w:id="142"/>
      <w:bookmarkEnd w:id="143"/>
      <w:bookmarkEnd w:id="144"/>
      <w:bookmarkEnd w:id="148"/>
    </w:p>
    <w:p>
      <w:pPr>
        <w:pStyle w:val="4"/>
        <w:rPr>
          <w:color w:val="000000" w:themeColor="text1"/>
          <w14:textFill>
            <w14:solidFill>
              <w14:schemeClr w14:val="tx1"/>
            </w14:solidFill>
          </w14:textFill>
        </w:rPr>
      </w:pPr>
      <w:bookmarkStart w:id="149" w:name="_Toc19834886"/>
      <w:bookmarkStart w:id="150" w:name="_Toc27680523"/>
      <w:bookmarkStart w:id="151" w:name="_Toc27936000"/>
      <w:bookmarkStart w:id="152" w:name="_Toc7245"/>
      <w:bookmarkStart w:id="153" w:name="_Toc15055"/>
      <w:r>
        <w:rPr>
          <w:rFonts w:hint="eastAsia"/>
          <w:color w:val="000000" w:themeColor="text1"/>
          <w14:textFill>
            <w14:solidFill>
              <w14:schemeClr w14:val="tx1"/>
            </w14:solidFill>
          </w14:textFill>
        </w:rPr>
        <w:t>项目本期数据资源采集需求</w:t>
      </w:r>
      <w:bookmarkEnd w:id="149"/>
      <w:bookmarkEnd w:id="150"/>
      <w:bookmarkEnd w:id="151"/>
      <w:bookmarkEnd w:id="152"/>
      <w:bookmarkEnd w:id="153"/>
    </w:p>
    <w:p>
      <w:pPr>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本期项目数据资源来源主要有以下几个方面</w:t>
      </w:r>
      <w:r>
        <w:rPr>
          <w:rFonts w:hint="eastAsia"/>
          <w:color w:val="000000" w:themeColor="text1"/>
          <w:lang w:eastAsia="zh-CN"/>
          <w14:textFill>
            <w14:solidFill>
              <w14:schemeClr w14:val="tx1"/>
            </w14:solidFill>
          </w14:textFill>
        </w:rPr>
        <w:t>：</w:t>
      </w:r>
    </w:p>
    <w:tbl>
      <w:tblPr>
        <w:tblStyle w:val="34"/>
        <w:tblW w:w="4997" w:type="pct"/>
        <w:tblInd w:w="0" w:type="dxa"/>
        <w:tblLayout w:type="autofit"/>
        <w:tblCellMar>
          <w:top w:w="0" w:type="dxa"/>
          <w:left w:w="108" w:type="dxa"/>
          <w:bottom w:w="0" w:type="dxa"/>
          <w:right w:w="108" w:type="dxa"/>
        </w:tblCellMar>
      </w:tblPr>
      <w:tblGrid>
        <w:gridCol w:w="466"/>
        <w:gridCol w:w="1476"/>
        <w:gridCol w:w="1885"/>
        <w:gridCol w:w="1617"/>
        <w:gridCol w:w="2318"/>
        <w:gridCol w:w="761"/>
      </w:tblGrid>
      <w:tr>
        <w:tblPrEx>
          <w:tblCellMar>
            <w:top w:w="0" w:type="dxa"/>
            <w:left w:w="108" w:type="dxa"/>
            <w:bottom w:w="0" w:type="dxa"/>
            <w:right w:w="108" w:type="dxa"/>
          </w:tblCellMar>
        </w:tblPrEx>
        <w:trPr>
          <w:trHeight w:val="280" w:hRule="atLeast"/>
        </w:trPr>
        <w:tc>
          <w:tcPr>
            <w:tcW w:w="273" w:type="pct"/>
            <w:tcBorders>
              <w:top w:val="single" w:color="auto" w:sz="4" w:space="0"/>
              <w:left w:val="single" w:color="auto" w:sz="4" w:space="0"/>
              <w:bottom w:val="single" w:color="auto" w:sz="4" w:space="0"/>
              <w:right w:val="single" w:color="auto" w:sz="4" w:space="0"/>
            </w:tcBorders>
            <w:shd w:val="clear" w:color="000000" w:fill="auto"/>
            <w:vAlign w:val="center"/>
          </w:tcPr>
          <w:p>
            <w:pPr>
              <w:widowControl/>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序号</w:t>
            </w:r>
          </w:p>
        </w:tc>
        <w:tc>
          <w:tcPr>
            <w:tcW w:w="865" w:type="pct"/>
            <w:tcBorders>
              <w:top w:val="single" w:color="auto" w:sz="4" w:space="0"/>
              <w:left w:val="nil"/>
              <w:bottom w:val="single" w:color="auto" w:sz="4" w:space="0"/>
              <w:right w:val="single" w:color="auto" w:sz="4" w:space="0"/>
            </w:tcBorders>
            <w:shd w:val="clear" w:color="000000" w:fill="auto"/>
            <w:vAlign w:val="center"/>
          </w:tcPr>
          <w:p>
            <w:pPr>
              <w:widowControl/>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数据主题名称</w:t>
            </w:r>
          </w:p>
        </w:tc>
        <w:tc>
          <w:tcPr>
            <w:tcW w:w="1105" w:type="pct"/>
            <w:tcBorders>
              <w:top w:val="single" w:color="auto" w:sz="4" w:space="0"/>
              <w:left w:val="nil"/>
              <w:bottom w:val="single" w:color="auto" w:sz="4" w:space="0"/>
              <w:right w:val="single" w:color="auto" w:sz="4" w:space="0"/>
            </w:tcBorders>
            <w:shd w:val="clear" w:color="000000" w:fill="auto"/>
            <w:vAlign w:val="center"/>
          </w:tcPr>
          <w:p>
            <w:pPr>
              <w:widowControl/>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数据提供单位</w:t>
            </w:r>
          </w:p>
        </w:tc>
        <w:tc>
          <w:tcPr>
            <w:tcW w:w="948" w:type="pct"/>
            <w:tcBorders>
              <w:top w:val="single" w:color="auto" w:sz="4" w:space="0"/>
              <w:left w:val="nil"/>
              <w:bottom w:val="single" w:color="auto" w:sz="4" w:space="0"/>
              <w:right w:val="single" w:color="auto" w:sz="4" w:space="0"/>
            </w:tcBorders>
            <w:shd w:val="clear" w:color="000000" w:fill="auto"/>
            <w:vAlign w:val="center"/>
          </w:tcPr>
          <w:p>
            <w:pPr>
              <w:widowControl/>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数据项</w:t>
            </w:r>
          </w:p>
        </w:tc>
        <w:tc>
          <w:tcPr>
            <w:tcW w:w="1359" w:type="pct"/>
            <w:tcBorders>
              <w:top w:val="single" w:color="auto" w:sz="4" w:space="0"/>
              <w:left w:val="nil"/>
              <w:bottom w:val="single" w:color="auto" w:sz="4" w:space="0"/>
              <w:right w:val="single" w:color="auto" w:sz="4" w:space="0"/>
            </w:tcBorders>
            <w:shd w:val="clear" w:color="000000" w:fill="auto"/>
            <w:vAlign w:val="center"/>
          </w:tcPr>
          <w:p>
            <w:pPr>
              <w:widowControl/>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来源</w:t>
            </w:r>
          </w:p>
        </w:tc>
        <w:tc>
          <w:tcPr>
            <w:tcW w:w="446" w:type="pct"/>
            <w:tcBorders>
              <w:top w:val="single" w:color="auto" w:sz="4" w:space="0"/>
              <w:left w:val="nil"/>
              <w:bottom w:val="single" w:color="auto" w:sz="4" w:space="0"/>
              <w:right w:val="single" w:color="auto" w:sz="4" w:space="0"/>
            </w:tcBorders>
            <w:shd w:val="clear" w:color="000000" w:fill="auto"/>
            <w:vAlign w:val="center"/>
          </w:tcPr>
          <w:p>
            <w:pPr>
              <w:widowControl/>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采集方式</w:t>
            </w:r>
          </w:p>
        </w:tc>
      </w:tr>
      <w:tr>
        <w:tblPrEx>
          <w:tblCellMar>
            <w:top w:w="0" w:type="dxa"/>
            <w:left w:w="108" w:type="dxa"/>
            <w:bottom w:w="0" w:type="dxa"/>
            <w:right w:w="108" w:type="dxa"/>
          </w:tblCellMar>
        </w:tblPrEx>
        <w:trPr>
          <w:trHeight w:val="468" w:hRule="atLeast"/>
        </w:trPr>
        <w:tc>
          <w:tcPr>
            <w:tcW w:w="27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1</w:t>
            </w:r>
          </w:p>
        </w:tc>
        <w:tc>
          <w:tcPr>
            <w:tcW w:w="865"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农产品在线销售统计数据</w:t>
            </w:r>
          </w:p>
        </w:tc>
        <w:tc>
          <w:tcPr>
            <w:tcW w:w="110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948"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农产品在线销售统计</w:t>
            </w:r>
          </w:p>
        </w:tc>
        <w:tc>
          <w:tcPr>
            <w:tcW w:w="135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县域电商公共服务平台</w:t>
            </w:r>
          </w:p>
        </w:tc>
        <w:tc>
          <w:tcPr>
            <w:tcW w:w="446"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自动获取</w:t>
            </w:r>
          </w:p>
        </w:tc>
      </w:tr>
      <w:tr>
        <w:tblPrEx>
          <w:tblCellMar>
            <w:top w:w="0" w:type="dxa"/>
            <w:left w:w="108" w:type="dxa"/>
            <w:bottom w:w="0" w:type="dxa"/>
            <w:right w:w="108" w:type="dxa"/>
          </w:tblCellMar>
        </w:tblPrEx>
        <w:trPr>
          <w:trHeight w:val="468" w:hRule="atLeast"/>
        </w:trPr>
        <w:tc>
          <w:tcPr>
            <w:tcW w:w="27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2</w:t>
            </w:r>
          </w:p>
        </w:tc>
        <w:tc>
          <w:tcPr>
            <w:tcW w:w="865"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区域销售数据</w:t>
            </w:r>
          </w:p>
        </w:tc>
        <w:tc>
          <w:tcPr>
            <w:tcW w:w="110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948"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区域销售数据汇总</w:t>
            </w:r>
          </w:p>
        </w:tc>
        <w:tc>
          <w:tcPr>
            <w:tcW w:w="135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县域电商公共服务平台</w:t>
            </w:r>
          </w:p>
        </w:tc>
        <w:tc>
          <w:tcPr>
            <w:tcW w:w="446"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自动获取</w:t>
            </w:r>
          </w:p>
        </w:tc>
      </w:tr>
      <w:tr>
        <w:tblPrEx>
          <w:tblCellMar>
            <w:top w:w="0" w:type="dxa"/>
            <w:left w:w="108" w:type="dxa"/>
            <w:bottom w:w="0" w:type="dxa"/>
            <w:right w:w="108" w:type="dxa"/>
          </w:tblCellMar>
        </w:tblPrEx>
        <w:trPr>
          <w:trHeight w:val="468" w:hRule="atLeast"/>
        </w:trPr>
        <w:tc>
          <w:tcPr>
            <w:tcW w:w="27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3</w:t>
            </w:r>
          </w:p>
        </w:tc>
        <w:tc>
          <w:tcPr>
            <w:tcW w:w="865"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三品一标数据</w:t>
            </w:r>
          </w:p>
        </w:tc>
        <w:tc>
          <w:tcPr>
            <w:tcW w:w="110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948"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三品一标</w:t>
            </w:r>
          </w:p>
        </w:tc>
        <w:tc>
          <w:tcPr>
            <w:tcW w:w="135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县域电商公共服务平台</w:t>
            </w:r>
          </w:p>
        </w:tc>
        <w:tc>
          <w:tcPr>
            <w:tcW w:w="446"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自动获取</w:t>
            </w:r>
          </w:p>
        </w:tc>
      </w:tr>
      <w:tr>
        <w:tblPrEx>
          <w:tblCellMar>
            <w:top w:w="0" w:type="dxa"/>
            <w:left w:w="108" w:type="dxa"/>
            <w:bottom w:w="0" w:type="dxa"/>
            <w:right w:w="108" w:type="dxa"/>
          </w:tblCellMar>
        </w:tblPrEx>
        <w:trPr>
          <w:trHeight w:val="468" w:hRule="atLeast"/>
        </w:trPr>
        <w:tc>
          <w:tcPr>
            <w:tcW w:w="27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eastAsia="宋体"/>
                <w:color w:val="000000"/>
                <w:kern w:val="0"/>
                <w:sz w:val="21"/>
                <w:szCs w:val="21"/>
                <w:lang w:eastAsia="zh-CN"/>
              </w:rPr>
            </w:pPr>
            <w:r>
              <w:rPr>
                <w:rFonts w:hint="eastAsia"/>
                <w:color w:val="000000"/>
                <w:kern w:val="0"/>
                <w:sz w:val="21"/>
                <w:szCs w:val="21"/>
                <w:lang w:val="en-US" w:eastAsia="zh-CN"/>
              </w:rPr>
              <w:t>4</w:t>
            </w:r>
          </w:p>
        </w:tc>
        <w:tc>
          <w:tcPr>
            <w:tcW w:w="865"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物流数据</w:t>
            </w:r>
          </w:p>
        </w:tc>
        <w:tc>
          <w:tcPr>
            <w:tcW w:w="110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948"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物流</w:t>
            </w:r>
          </w:p>
        </w:tc>
        <w:tc>
          <w:tcPr>
            <w:tcW w:w="135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县域电商公共服务平台</w:t>
            </w:r>
          </w:p>
        </w:tc>
        <w:tc>
          <w:tcPr>
            <w:tcW w:w="446"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自动获取</w:t>
            </w:r>
          </w:p>
        </w:tc>
      </w:tr>
      <w:tr>
        <w:tblPrEx>
          <w:tblCellMar>
            <w:top w:w="0" w:type="dxa"/>
            <w:left w:w="108" w:type="dxa"/>
            <w:bottom w:w="0" w:type="dxa"/>
            <w:right w:w="108" w:type="dxa"/>
          </w:tblCellMar>
        </w:tblPrEx>
        <w:trPr>
          <w:trHeight w:val="468" w:hRule="atLeast"/>
        </w:trPr>
        <w:tc>
          <w:tcPr>
            <w:tcW w:w="27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eastAsia="宋体"/>
                <w:color w:val="000000"/>
                <w:kern w:val="0"/>
                <w:sz w:val="21"/>
                <w:szCs w:val="21"/>
                <w:lang w:eastAsia="zh-CN"/>
              </w:rPr>
            </w:pPr>
            <w:r>
              <w:rPr>
                <w:rFonts w:hint="eastAsia"/>
                <w:color w:val="000000"/>
                <w:kern w:val="0"/>
                <w:sz w:val="21"/>
                <w:szCs w:val="21"/>
                <w:lang w:val="en-US" w:eastAsia="zh-CN"/>
              </w:rPr>
              <w:t>5</w:t>
            </w:r>
          </w:p>
        </w:tc>
        <w:tc>
          <w:tcPr>
            <w:tcW w:w="865"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站点统计数据</w:t>
            </w:r>
          </w:p>
        </w:tc>
        <w:tc>
          <w:tcPr>
            <w:tcW w:w="110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948"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站点统计</w:t>
            </w:r>
          </w:p>
        </w:tc>
        <w:tc>
          <w:tcPr>
            <w:tcW w:w="135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县域电商公共服务平台</w:t>
            </w:r>
          </w:p>
        </w:tc>
        <w:tc>
          <w:tcPr>
            <w:tcW w:w="446"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自动获取</w:t>
            </w:r>
          </w:p>
        </w:tc>
      </w:tr>
      <w:tr>
        <w:tblPrEx>
          <w:tblCellMar>
            <w:top w:w="0" w:type="dxa"/>
            <w:left w:w="108" w:type="dxa"/>
            <w:bottom w:w="0" w:type="dxa"/>
            <w:right w:w="108" w:type="dxa"/>
          </w:tblCellMar>
        </w:tblPrEx>
        <w:trPr>
          <w:trHeight w:val="468" w:hRule="atLeast"/>
        </w:trPr>
        <w:tc>
          <w:tcPr>
            <w:tcW w:w="27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eastAsia="宋体"/>
                <w:color w:val="000000"/>
                <w:kern w:val="0"/>
                <w:sz w:val="21"/>
                <w:szCs w:val="21"/>
                <w:lang w:eastAsia="zh-CN"/>
              </w:rPr>
            </w:pPr>
            <w:r>
              <w:rPr>
                <w:rFonts w:hint="eastAsia"/>
                <w:color w:val="000000"/>
                <w:kern w:val="0"/>
                <w:sz w:val="21"/>
                <w:szCs w:val="21"/>
                <w:lang w:val="en-US" w:eastAsia="zh-CN"/>
              </w:rPr>
              <w:t>6</w:t>
            </w:r>
          </w:p>
        </w:tc>
        <w:tc>
          <w:tcPr>
            <w:tcW w:w="865"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代购信息</w:t>
            </w:r>
          </w:p>
        </w:tc>
        <w:tc>
          <w:tcPr>
            <w:tcW w:w="110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948"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代购信息</w:t>
            </w:r>
          </w:p>
        </w:tc>
        <w:tc>
          <w:tcPr>
            <w:tcW w:w="135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县域电商公共服务平台</w:t>
            </w:r>
          </w:p>
        </w:tc>
        <w:tc>
          <w:tcPr>
            <w:tcW w:w="446"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自动获取</w:t>
            </w:r>
          </w:p>
        </w:tc>
      </w:tr>
      <w:tr>
        <w:tblPrEx>
          <w:tblCellMar>
            <w:top w:w="0" w:type="dxa"/>
            <w:left w:w="108" w:type="dxa"/>
            <w:bottom w:w="0" w:type="dxa"/>
            <w:right w:w="108" w:type="dxa"/>
          </w:tblCellMar>
        </w:tblPrEx>
        <w:trPr>
          <w:trHeight w:val="468" w:hRule="atLeast"/>
        </w:trPr>
        <w:tc>
          <w:tcPr>
            <w:tcW w:w="27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eastAsia="宋体"/>
                <w:color w:val="000000"/>
                <w:kern w:val="0"/>
                <w:sz w:val="21"/>
                <w:szCs w:val="21"/>
                <w:lang w:eastAsia="zh-CN"/>
              </w:rPr>
            </w:pPr>
            <w:r>
              <w:rPr>
                <w:rFonts w:hint="eastAsia"/>
                <w:color w:val="000000"/>
                <w:kern w:val="0"/>
                <w:sz w:val="21"/>
                <w:szCs w:val="21"/>
                <w:lang w:val="en-US" w:eastAsia="zh-CN"/>
              </w:rPr>
              <w:t>7</w:t>
            </w:r>
          </w:p>
        </w:tc>
        <w:tc>
          <w:tcPr>
            <w:tcW w:w="865"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代销信息</w:t>
            </w:r>
          </w:p>
        </w:tc>
        <w:tc>
          <w:tcPr>
            <w:tcW w:w="110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948"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代销信息</w:t>
            </w:r>
          </w:p>
        </w:tc>
        <w:tc>
          <w:tcPr>
            <w:tcW w:w="135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县域电商公共服务平台</w:t>
            </w:r>
          </w:p>
        </w:tc>
        <w:tc>
          <w:tcPr>
            <w:tcW w:w="446"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自动获取</w:t>
            </w:r>
          </w:p>
        </w:tc>
      </w:tr>
      <w:tr>
        <w:tblPrEx>
          <w:tblCellMar>
            <w:top w:w="0" w:type="dxa"/>
            <w:left w:w="108" w:type="dxa"/>
            <w:bottom w:w="0" w:type="dxa"/>
            <w:right w:w="108" w:type="dxa"/>
          </w:tblCellMar>
        </w:tblPrEx>
        <w:trPr>
          <w:trHeight w:val="468" w:hRule="atLeast"/>
        </w:trPr>
        <w:tc>
          <w:tcPr>
            <w:tcW w:w="273"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eastAsia="宋体"/>
                <w:color w:val="000000"/>
                <w:kern w:val="0"/>
                <w:sz w:val="21"/>
                <w:szCs w:val="21"/>
                <w:lang w:eastAsia="zh-CN"/>
              </w:rPr>
            </w:pPr>
            <w:r>
              <w:rPr>
                <w:rFonts w:hint="eastAsia"/>
                <w:color w:val="000000"/>
                <w:kern w:val="0"/>
                <w:sz w:val="21"/>
                <w:szCs w:val="21"/>
                <w:lang w:val="en-US" w:eastAsia="zh-CN"/>
              </w:rPr>
              <w:t>8</w:t>
            </w:r>
          </w:p>
        </w:tc>
        <w:tc>
          <w:tcPr>
            <w:tcW w:w="865"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便民服务信息</w:t>
            </w:r>
          </w:p>
        </w:tc>
        <w:tc>
          <w:tcPr>
            <w:tcW w:w="110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948"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便民服务信息</w:t>
            </w:r>
          </w:p>
        </w:tc>
        <w:tc>
          <w:tcPr>
            <w:tcW w:w="135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县域电商公共服务平台</w:t>
            </w:r>
          </w:p>
        </w:tc>
        <w:tc>
          <w:tcPr>
            <w:tcW w:w="446"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自动获取</w:t>
            </w:r>
          </w:p>
        </w:tc>
      </w:tr>
    </w:tbl>
    <w:p>
      <w:pPr>
        <w:pStyle w:val="4"/>
        <w:rPr>
          <w:color w:val="000000" w:themeColor="text1"/>
          <w14:textFill>
            <w14:solidFill>
              <w14:schemeClr w14:val="tx1"/>
            </w14:solidFill>
          </w14:textFill>
        </w:rPr>
      </w:pPr>
      <w:bookmarkStart w:id="154" w:name="_Toc27936001"/>
      <w:bookmarkStart w:id="155" w:name="_Toc27680524"/>
      <w:bookmarkStart w:id="156" w:name="_Toc14839"/>
      <w:bookmarkStart w:id="157" w:name="_Toc8915"/>
      <w:bookmarkStart w:id="158" w:name="_Toc19834887"/>
      <w:r>
        <w:rPr>
          <w:rFonts w:hint="eastAsia"/>
          <w:color w:val="000000" w:themeColor="text1"/>
          <w14:textFill>
            <w14:solidFill>
              <w14:schemeClr w14:val="tx1"/>
            </w14:solidFill>
          </w14:textFill>
        </w:rPr>
        <w:t>项目本期形成的数据资源目录</w:t>
      </w:r>
      <w:bookmarkEnd w:id="154"/>
      <w:bookmarkEnd w:id="155"/>
      <w:bookmarkEnd w:id="156"/>
      <w:bookmarkEnd w:id="157"/>
      <w:bookmarkEnd w:id="158"/>
    </w:p>
    <w:p>
      <w:pPr>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项目本期形成的数据资源目录如下</w:t>
      </w:r>
      <w:r>
        <w:rPr>
          <w:rFonts w:hint="eastAsia"/>
          <w:color w:val="000000" w:themeColor="text1"/>
          <w:lang w:eastAsia="zh-CN"/>
          <w14:textFill>
            <w14:solidFill>
              <w14:schemeClr w14:val="tx1"/>
            </w14:solidFill>
          </w14:textFill>
        </w:rPr>
        <w:t>：</w:t>
      </w:r>
    </w:p>
    <w:tbl>
      <w:tblPr>
        <w:tblStyle w:val="34"/>
        <w:tblW w:w="4997" w:type="pct"/>
        <w:tblInd w:w="0" w:type="dxa"/>
        <w:tblLayout w:type="autofit"/>
        <w:tblCellMar>
          <w:top w:w="0" w:type="dxa"/>
          <w:left w:w="108" w:type="dxa"/>
          <w:bottom w:w="0" w:type="dxa"/>
          <w:right w:w="108" w:type="dxa"/>
        </w:tblCellMar>
      </w:tblPr>
      <w:tblGrid>
        <w:gridCol w:w="638"/>
        <w:gridCol w:w="1481"/>
        <w:gridCol w:w="1541"/>
        <w:gridCol w:w="1476"/>
        <w:gridCol w:w="1060"/>
        <w:gridCol w:w="1060"/>
        <w:gridCol w:w="1267"/>
      </w:tblGrid>
      <w:tr>
        <w:tblPrEx>
          <w:tblCellMar>
            <w:top w:w="0" w:type="dxa"/>
            <w:left w:w="108" w:type="dxa"/>
            <w:bottom w:w="0" w:type="dxa"/>
            <w:right w:w="108" w:type="dxa"/>
          </w:tblCellMar>
        </w:tblPrEx>
        <w:trPr>
          <w:trHeight w:val="374" w:hRule="atLeast"/>
          <w:tblHeader/>
        </w:trPr>
        <w:tc>
          <w:tcPr>
            <w:tcW w:w="374" w:type="pct"/>
            <w:tcBorders>
              <w:top w:val="single" w:color="auto" w:sz="4" w:space="0"/>
              <w:left w:val="single" w:color="auto" w:sz="4" w:space="0"/>
              <w:bottom w:val="single" w:color="auto" w:sz="4" w:space="0"/>
              <w:right w:val="single" w:color="auto" w:sz="4" w:space="0"/>
            </w:tcBorders>
            <w:shd w:val="clear" w:color="000000" w:fill="auto"/>
            <w:noWrap/>
            <w:vAlign w:val="center"/>
          </w:tcPr>
          <w:p>
            <w:pPr>
              <w:widowControl/>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序号</w:t>
            </w:r>
          </w:p>
        </w:tc>
        <w:tc>
          <w:tcPr>
            <w:tcW w:w="868" w:type="pct"/>
            <w:tcBorders>
              <w:top w:val="single" w:color="auto" w:sz="4" w:space="0"/>
              <w:left w:val="nil"/>
              <w:bottom w:val="single" w:color="auto" w:sz="4" w:space="0"/>
              <w:right w:val="single" w:color="auto" w:sz="4" w:space="0"/>
            </w:tcBorders>
            <w:shd w:val="clear" w:color="000000" w:fill="auto"/>
            <w:noWrap/>
            <w:vAlign w:val="center"/>
          </w:tcPr>
          <w:p>
            <w:pPr>
              <w:widowControl/>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数据主题名称</w:t>
            </w:r>
          </w:p>
        </w:tc>
        <w:tc>
          <w:tcPr>
            <w:tcW w:w="904" w:type="pct"/>
            <w:tcBorders>
              <w:top w:val="single" w:color="auto" w:sz="4" w:space="0"/>
              <w:left w:val="nil"/>
              <w:bottom w:val="single" w:color="auto" w:sz="4" w:space="0"/>
              <w:right w:val="single" w:color="auto" w:sz="4" w:space="0"/>
            </w:tcBorders>
            <w:shd w:val="clear" w:color="000000" w:fill="auto"/>
            <w:noWrap/>
            <w:vAlign w:val="center"/>
          </w:tcPr>
          <w:p>
            <w:pPr>
              <w:widowControl/>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数据提供单位</w:t>
            </w:r>
          </w:p>
        </w:tc>
        <w:tc>
          <w:tcPr>
            <w:tcW w:w="865" w:type="pct"/>
            <w:tcBorders>
              <w:top w:val="single" w:color="auto" w:sz="4" w:space="0"/>
              <w:left w:val="nil"/>
              <w:bottom w:val="single" w:color="auto" w:sz="4" w:space="0"/>
              <w:right w:val="single" w:color="auto" w:sz="4" w:space="0"/>
            </w:tcBorders>
            <w:shd w:val="clear" w:color="000000" w:fill="auto"/>
            <w:noWrap/>
            <w:vAlign w:val="center"/>
          </w:tcPr>
          <w:p>
            <w:pPr>
              <w:widowControl/>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数据项</w:t>
            </w:r>
          </w:p>
        </w:tc>
        <w:tc>
          <w:tcPr>
            <w:tcW w:w="621" w:type="pct"/>
            <w:tcBorders>
              <w:top w:val="single" w:color="auto" w:sz="4" w:space="0"/>
              <w:left w:val="nil"/>
              <w:bottom w:val="single" w:color="auto" w:sz="4" w:space="0"/>
              <w:right w:val="single" w:color="auto" w:sz="4" w:space="0"/>
            </w:tcBorders>
            <w:shd w:val="clear" w:color="000000" w:fill="auto"/>
            <w:noWrap/>
            <w:vAlign w:val="center"/>
          </w:tcPr>
          <w:p>
            <w:pPr>
              <w:widowControl/>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更新周期</w:t>
            </w:r>
          </w:p>
        </w:tc>
        <w:tc>
          <w:tcPr>
            <w:tcW w:w="621" w:type="pct"/>
            <w:tcBorders>
              <w:top w:val="single" w:color="auto" w:sz="4" w:space="0"/>
              <w:left w:val="nil"/>
              <w:bottom w:val="single" w:color="auto" w:sz="4" w:space="0"/>
              <w:right w:val="single" w:color="auto" w:sz="4" w:space="0"/>
            </w:tcBorders>
            <w:shd w:val="clear" w:color="000000" w:fill="auto"/>
            <w:noWrap/>
            <w:vAlign w:val="center"/>
          </w:tcPr>
          <w:p>
            <w:pPr>
              <w:widowControl/>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共享方式</w:t>
            </w:r>
          </w:p>
        </w:tc>
        <w:tc>
          <w:tcPr>
            <w:tcW w:w="743" w:type="pct"/>
            <w:tcBorders>
              <w:top w:val="single" w:color="auto" w:sz="4" w:space="0"/>
              <w:left w:val="nil"/>
              <w:bottom w:val="single" w:color="auto" w:sz="4" w:space="0"/>
              <w:right w:val="single" w:color="auto" w:sz="4" w:space="0"/>
            </w:tcBorders>
            <w:shd w:val="clear" w:color="000000" w:fill="auto"/>
            <w:noWrap/>
            <w:vAlign w:val="center"/>
          </w:tcPr>
          <w:p>
            <w:pPr>
              <w:widowControl/>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共享类型</w:t>
            </w:r>
          </w:p>
        </w:tc>
      </w:tr>
      <w:tr>
        <w:tblPrEx>
          <w:tblCellMar>
            <w:top w:w="0" w:type="dxa"/>
            <w:left w:w="108" w:type="dxa"/>
            <w:bottom w:w="0" w:type="dxa"/>
            <w:right w:w="108" w:type="dxa"/>
          </w:tblCellMar>
        </w:tblPrEx>
        <w:trPr>
          <w:trHeight w:val="720" w:hRule="atLeast"/>
        </w:trPr>
        <w:tc>
          <w:tcPr>
            <w:tcW w:w="374"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1</w:t>
            </w:r>
          </w:p>
        </w:tc>
        <w:tc>
          <w:tcPr>
            <w:tcW w:w="868"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农产品在线销售统计数据</w:t>
            </w:r>
          </w:p>
        </w:tc>
        <w:tc>
          <w:tcPr>
            <w:tcW w:w="904"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865"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农产品在线销售统计</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743"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无条件共享</w:t>
            </w:r>
          </w:p>
        </w:tc>
      </w:tr>
      <w:tr>
        <w:tblPrEx>
          <w:tblCellMar>
            <w:top w:w="0" w:type="dxa"/>
            <w:left w:w="108" w:type="dxa"/>
            <w:bottom w:w="0" w:type="dxa"/>
            <w:right w:w="108" w:type="dxa"/>
          </w:tblCellMar>
        </w:tblPrEx>
        <w:trPr>
          <w:trHeight w:val="720" w:hRule="atLeast"/>
        </w:trPr>
        <w:tc>
          <w:tcPr>
            <w:tcW w:w="374"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2</w:t>
            </w:r>
          </w:p>
        </w:tc>
        <w:tc>
          <w:tcPr>
            <w:tcW w:w="868"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区域销售数据</w:t>
            </w:r>
          </w:p>
        </w:tc>
        <w:tc>
          <w:tcPr>
            <w:tcW w:w="904"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865"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区域销售数据汇总</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743"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无条件共享</w:t>
            </w:r>
          </w:p>
        </w:tc>
      </w:tr>
      <w:tr>
        <w:tblPrEx>
          <w:tblCellMar>
            <w:top w:w="0" w:type="dxa"/>
            <w:left w:w="108" w:type="dxa"/>
            <w:bottom w:w="0" w:type="dxa"/>
            <w:right w:w="108" w:type="dxa"/>
          </w:tblCellMar>
        </w:tblPrEx>
        <w:trPr>
          <w:trHeight w:val="720" w:hRule="atLeast"/>
        </w:trPr>
        <w:tc>
          <w:tcPr>
            <w:tcW w:w="374"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3</w:t>
            </w:r>
          </w:p>
        </w:tc>
        <w:tc>
          <w:tcPr>
            <w:tcW w:w="868"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三品一标数据</w:t>
            </w:r>
          </w:p>
        </w:tc>
        <w:tc>
          <w:tcPr>
            <w:tcW w:w="904"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865"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三品一标</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743"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无条件共享</w:t>
            </w:r>
          </w:p>
        </w:tc>
      </w:tr>
      <w:tr>
        <w:tblPrEx>
          <w:tblCellMar>
            <w:top w:w="0" w:type="dxa"/>
            <w:left w:w="108" w:type="dxa"/>
            <w:bottom w:w="0" w:type="dxa"/>
            <w:right w:w="108" w:type="dxa"/>
          </w:tblCellMar>
        </w:tblPrEx>
        <w:trPr>
          <w:trHeight w:val="720" w:hRule="atLeast"/>
        </w:trPr>
        <w:tc>
          <w:tcPr>
            <w:tcW w:w="374"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eastAsia="宋体"/>
                <w:color w:val="000000"/>
                <w:kern w:val="0"/>
                <w:sz w:val="21"/>
                <w:szCs w:val="21"/>
                <w:lang w:eastAsia="zh-CN"/>
              </w:rPr>
            </w:pPr>
            <w:r>
              <w:rPr>
                <w:rFonts w:hint="eastAsia"/>
                <w:color w:val="000000"/>
                <w:kern w:val="0"/>
                <w:sz w:val="21"/>
                <w:szCs w:val="21"/>
                <w:lang w:val="en-US" w:eastAsia="zh-CN"/>
              </w:rPr>
              <w:t>4</w:t>
            </w:r>
          </w:p>
        </w:tc>
        <w:tc>
          <w:tcPr>
            <w:tcW w:w="868"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物流数据</w:t>
            </w:r>
          </w:p>
        </w:tc>
        <w:tc>
          <w:tcPr>
            <w:tcW w:w="904"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865"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物流</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743"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无条件共享</w:t>
            </w:r>
          </w:p>
        </w:tc>
      </w:tr>
      <w:tr>
        <w:tblPrEx>
          <w:tblCellMar>
            <w:top w:w="0" w:type="dxa"/>
            <w:left w:w="108" w:type="dxa"/>
            <w:bottom w:w="0" w:type="dxa"/>
            <w:right w:w="108" w:type="dxa"/>
          </w:tblCellMar>
        </w:tblPrEx>
        <w:trPr>
          <w:trHeight w:val="720" w:hRule="atLeast"/>
        </w:trPr>
        <w:tc>
          <w:tcPr>
            <w:tcW w:w="374"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eastAsia="宋体"/>
                <w:color w:val="000000"/>
                <w:kern w:val="0"/>
                <w:sz w:val="21"/>
                <w:szCs w:val="21"/>
                <w:lang w:eastAsia="zh-CN"/>
              </w:rPr>
            </w:pPr>
            <w:r>
              <w:rPr>
                <w:rFonts w:hint="eastAsia"/>
                <w:color w:val="000000"/>
                <w:kern w:val="0"/>
                <w:sz w:val="21"/>
                <w:szCs w:val="21"/>
                <w:lang w:val="en-US" w:eastAsia="zh-CN"/>
              </w:rPr>
              <w:t>5</w:t>
            </w:r>
          </w:p>
        </w:tc>
        <w:tc>
          <w:tcPr>
            <w:tcW w:w="868"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站点统计数据</w:t>
            </w:r>
          </w:p>
        </w:tc>
        <w:tc>
          <w:tcPr>
            <w:tcW w:w="904"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865"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站点统计</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743"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无条件共享</w:t>
            </w:r>
          </w:p>
        </w:tc>
      </w:tr>
      <w:tr>
        <w:tblPrEx>
          <w:tblCellMar>
            <w:top w:w="0" w:type="dxa"/>
            <w:left w:w="108" w:type="dxa"/>
            <w:bottom w:w="0" w:type="dxa"/>
            <w:right w:w="108" w:type="dxa"/>
          </w:tblCellMar>
        </w:tblPrEx>
        <w:trPr>
          <w:trHeight w:val="720" w:hRule="atLeast"/>
        </w:trPr>
        <w:tc>
          <w:tcPr>
            <w:tcW w:w="374"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eastAsia="宋体"/>
                <w:color w:val="000000"/>
                <w:kern w:val="0"/>
                <w:sz w:val="21"/>
                <w:szCs w:val="21"/>
                <w:lang w:eastAsia="zh-CN"/>
              </w:rPr>
            </w:pPr>
            <w:r>
              <w:rPr>
                <w:rFonts w:hint="eastAsia"/>
                <w:color w:val="000000"/>
                <w:kern w:val="0"/>
                <w:sz w:val="21"/>
                <w:szCs w:val="21"/>
                <w:lang w:val="en-US" w:eastAsia="zh-CN"/>
              </w:rPr>
              <w:t>6</w:t>
            </w:r>
          </w:p>
        </w:tc>
        <w:tc>
          <w:tcPr>
            <w:tcW w:w="868"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代购信息</w:t>
            </w:r>
          </w:p>
        </w:tc>
        <w:tc>
          <w:tcPr>
            <w:tcW w:w="904"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865"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代购信息</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743"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无条件共享</w:t>
            </w:r>
          </w:p>
        </w:tc>
      </w:tr>
      <w:tr>
        <w:tblPrEx>
          <w:tblCellMar>
            <w:top w:w="0" w:type="dxa"/>
            <w:left w:w="108" w:type="dxa"/>
            <w:bottom w:w="0" w:type="dxa"/>
            <w:right w:w="108" w:type="dxa"/>
          </w:tblCellMar>
        </w:tblPrEx>
        <w:trPr>
          <w:trHeight w:val="720" w:hRule="atLeast"/>
        </w:trPr>
        <w:tc>
          <w:tcPr>
            <w:tcW w:w="374"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eastAsia="宋体"/>
                <w:color w:val="000000"/>
                <w:kern w:val="0"/>
                <w:sz w:val="21"/>
                <w:szCs w:val="21"/>
                <w:lang w:eastAsia="zh-CN"/>
              </w:rPr>
            </w:pPr>
            <w:r>
              <w:rPr>
                <w:rFonts w:hint="eastAsia"/>
                <w:color w:val="000000"/>
                <w:kern w:val="0"/>
                <w:sz w:val="21"/>
                <w:szCs w:val="21"/>
                <w:lang w:val="en-US" w:eastAsia="zh-CN"/>
              </w:rPr>
              <w:t>7</w:t>
            </w:r>
          </w:p>
        </w:tc>
        <w:tc>
          <w:tcPr>
            <w:tcW w:w="868"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代销信息</w:t>
            </w:r>
          </w:p>
        </w:tc>
        <w:tc>
          <w:tcPr>
            <w:tcW w:w="904"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865"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代销信息</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743"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无条件共享</w:t>
            </w:r>
          </w:p>
        </w:tc>
      </w:tr>
      <w:tr>
        <w:tblPrEx>
          <w:tblCellMar>
            <w:top w:w="0" w:type="dxa"/>
            <w:left w:w="108" w:type="dxa"/>
            <w:bottom w:w="0" w:type="dxa"/>
            <w:right w:w="108" w:type="dxa"/>
          </w:tblCellMar>
        </w:tblPrEx>
        <w:trPr>
          <w:trHeight w:val="720" w:hRule="atLeast"/>
        </w:trPr>
        <w:tc>
          <w:tcPr>
            <w:tcW w:w="374"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eastAsia="宋体"/>
                <w:color w:val="000000"/>
                <w:kern w:val="0"/>
                <w:sz w:val="21"/>
                <w:szCs w:val="21"/>
                <w:lang w:eastAsia="zh-CN"/>
              </w:rPr>
            </w:pPr>
            <w:r>
              <w:rPr>
                <w:rFonts w:hint="eastAsia"/>
                <w:color w:val="000000"/>
                <w:kern w:val="0"/>
                <w:sz w:val="21"/>
                <w:szCs w:val="21"/>
                <w:lang w:val="en-US" w:eastAsia="zh-CN"/>
              </w:rPr>
              <w:t>8</w:t>
            </w:r>
          </w:p>
        </w:tc>
        <w:tc>
          <w:tcPr>
            <w:tcW w:w="868"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便民服务信息</w:t>
            </w:r>
          </w:p>
        </w:tc>
        <w:tc>
          <w:tcPr>
            <w:tcW w:w="904"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kern w:val="0"/>
                <w:sz w:val="21"/>
                <w:szCs w:val="21"/>
              </w:rPr>
            </w:pPr>
            <w:r>
              <w:rPr>
                <w:rFonts w:hint="eastAsia"/>
                <w:color w:val="000000"/>
                <w:kern w:val="0"/>
                <w:sz w:val="21"/>
                <w:szCs w:val="21"/>
                <w:lang w:val="en-US" w:eastAsia="zh-CN"/>
              </w:rPr>
              <w:t>和</w:t>
            </w:r>
            <w:r>
              <w:rPr>
                <w:rFonts w:hint="eastAsia"/>
                <w:color w:val="000000"/>
                <w:kern w:val="0"/>
                <w:sz w:val="21"/>
                <w:szCs w:val="21"/>
              </w:rPr>
              <w:t>平县工业商务和信息化局</w:t>
            </w:r>
          </w:p>
        </w:tc>
        <w:tc>
          <w:tcPr>
            <w:tcW w:w="865"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便民服务信息</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621"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实时</w:t>
            </w:r>
          </w:p>
        </w:tc>
        <w:tc>
          <w:tcPr>
            <w:tcW w:w="743"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hint="eastAsia"/>
                <w:color w:val="000000"/>
                <w:kern w:val="0"/>
                <w:sz w:val="21"/>
                <w:szCs w:val="21"/>
              </w:rPr>
            </w:pPr>
            <w:r>
              <w:rPr>
                <w:rFonts w:hint="eastAsia"/>
                <w:color w:val="000000"/>
                <w:kern w:val="0"/>
                <w:sz w:val="21"/>
                <w:szCs w:val="21"/>
              </w:rPr>
              <w:t>无条件共享</w:t>
            </w:r>
          </w:p>
        </w:tc>
      </w:tr>
    </w:tbl>
    <w:p>
      <w:pPr>
        <w:pStyle w:val="4"/>
        <w:rPr>
          <w:color w:val="000000" w:themeColor="text1"/>
          <w14:textFill>
            <w14:solidFill>
              <w14:schemeClr w14:val="tx1"/>
            </w14:solidFill>
          </w14:textFill>
        </w:rPr>
      </w:pPr>
      <w:bookmarkStart w:id="159" w:name="_Toc27936002"/>
      <w:bookmarkStart w:id="160" w:name="_Toc27680525"/>
      <w:bookmarkStart w:id="161" w:name="_Toc14154"/>
      <w:bookmarkStart w:id="162" w:name="_Toc9369"/>
      <w:bookmarkStart w:id="163" w:name="_Toc19834888"/>
      <w:r>
        <w:rPr>
          <w:rFonts w:hint="eastAsia"/>
          <w:color w:val="000000" w:themeColor="text1"/>
          <w14:textFill>
            <w14:solidFill>
              <w14:schemeClr w14:val="tx1"/>
            </w14:solidFill>
          </w14:textFill>
        </w:rPr>
        <w:t>非共享数据资源及其依据</w:t>
      </w:r>
      <w:bookmarkEnd w:id="159"/>
      <w:bookmarkEnd w:id="160"/>
      <w:bookmarkEnd w:id="161"/>
      <w:bookmarkEnd w:id="162"/>
      <w:bookmarkEnd w:id="163"/>
    </w:p>
    <w:p>
      <w:pPr>
        <w:rPr>
          <w:rFonts w:hint="eastAsia" w:eastAsia="宋体"/>
          <w:lang w:val="en-US" w:eastAsia="zh-CN"/>
        </w:rPr>
      </w:pPr>
      <w:r>
        <w:rPr>
          <w:rFonts w:hint="eastAsia"/>
          <w:lang w:val="en-US" w:eastAsia="zh-CN"/>
        </w:rPr>
        <w:t xml:space="preserve">无。    </w:t>
      </w:r>
    </w:p>
    <w:p>
      <w:pPr>
        <w:pStyle w:val="4"/>
        <w:rPr>
          <w:rFonts w:hint="eastAsia"/>
          <w:color w:val="000000" w:themeColor="text1"/>
          <w:lang w:val="zh-CN"/>
          <w14:textFill>
            <w14:solidFill>
              <w14:schemeClr w14:val="tx1"/>
            </w14:solidFill>
          </w14:textFill>
        </w:rPr>
      </w:pPr>
      <w:bookmarkStart w:id="164" w:name="_Toc5262"/>
      <w:r>
        <w:rPr>
          <w:rFonts w:hint="eastAsia"/>
          <w:color w:val="000000" w:themeColor="text1"/>
          <w:lang w:val="zh-CN"/>
          <w14:textFill>
            <w14:solidFill>
              <w14:schemeClr w14:val="tx1"/>
            </w14:solidFill>
          </w14:textFill>
        </w:rPr>
        <w:t>数据资源管理核查表</w:t>
      </w:r>
      <w:bookmarkEnd w:id="164"/>
    </w:p>
    <w:tbl>
      <w:tblPr>
        <w:tblStyle w:val="34"/>
        <w:tblW w:w="5000" w:type="pct"/>
        <w:tblInd w:w="0" w:type="dxa"/>
        <w:shd w:val="clear" w:color="auto" w:fill="auto"/>
        <w:tblLayout w:type="autofit"/>
        <w:tblCellMar>
          <w:top w:w="0" w:type="dxa"/>
          <w:left w:w="108" w:type="dxa"/>
          <w:bottom w:w="0" w:type="dxa"/>
          <w:right w:w="108" w:type="dxa"/>
        </w:tblCellMar>
      </w:tblPr>
      <w:tblGrid>
        <w:gridCol w:w="1616"/>
        <w:gridCol w:w="2318"/>
        <w:gridCol w:w="1184"/>
        <w:gridCol w:w="1247"/>
        <w:gridCol w:w="901"/>
        <w:gridCol w:w="1262"/>
      </w:tblGrid>
      <w:tr>
        <w:tblPrEx>
          <w:tblCellMar>
            <w:top w:w="0" w:type="dxa"/>
            <w:left w:w="108" w:type="dxa"/>
            <w:bottom w:w="0" w:type="dxa"/>
            <w:right w:w="108" w:type="dxa"/>
          </w:tblCellMar>
        </w:tblPrEx>
        <w:trPr>
          <w:trHeight w:val="79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lang w:val="en-US" w:eastAsia="zh-CN"/>
              </w:rPr>
            </w:pPr>
            <w:r>
              <w:rPr>
                <w:rFonts w:hint="eastAsia"/>
                <w:lang w:val="en-US" w:eastAsia="zh-CN"/>
              </w:rPr>
              <w:t>单位名称（盖章）：和平县工业商务和信息化局 填表日期：2021年10月21日</w:t>
            </w:r>
          </w:p>
          <w:p>
            <w:pPr>
              <w:pStyle w:val="2"/>
              <w:rPr>
                <w:rFonts w:hint="default"/>
                <w:lang w:val="en-US"/>
              </w:rPr>
            </w:pPr>
            <w:r>
              <w:rPr>
                <w:rFonts w:hint="eastAsia" w:eastAsia="宋体" w:cs="宋体"/>
                <w:i w:val="0"/>
                <w:iCs w:val="0"/>
                <w:color w:val="000000"/>
                <w:kern w:val="0"/>
                <w:sz w:val="24"/>
                <w:szCs w:val="24"/>
                <w:u w:val="none"/>
                <w:lang w:val="en-US" w:eastAsia="zh-CN" w:bidi="ar"/>
              </w:rPr>
              <w:t xml:space="preserve">              和平县乡村振兴局</w:t>
            </w:r>
          </w:p>
        </w:tc>
      </w:tr>
      <w:tr>
        <w:tblPrEx>
          <w:shd w:val="clear" w:color="auto" w:fill="auto"/>
          <w:tblCellMar>
            <w:top w:w="0" w:type="dxa"/>
            <w:left w:w="108" w:type="dxa"/>
            <w:bottom w:w="0" w:type="dxa"/>
            <w:right w:w="108" w:type="dxa"/>
          </w:tblCellMar>
        </w:tblPrEx>
        <w:trPr>
          <w:trHeight w:val="31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405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和平县电子商务农产品上行体系及乡村振兴</w:t>
            </w:r>
            <w:r>
              <w:rPr>
                <w:rFonts w:hint="eastAsia" w:cs="宋体"/>
                <w:lang w:val="en-US" w:eastAsia="zh-CN"/>
              </w:rPr>
              <w:t>产品</w:t>
            </w:r>
            <w:r>
              <w:rPr>
                <w:rFonts w:hint="eastAsia" w:ascii="宋体" w:hAnsi="宋体" w:eastAsia="宋体" w:cs="宋体"/>
                <w:i w:val="0"/>
                <w:iCs w:val="0"/>
                <w:color w:val="000000"/>
                <w:sz w:val="24"/>
                <w:szCs w:val="24"/>
                <w:u w:val="none"/>
              </w:rPr>
              <w:t>公共服务系统平台项目</w:t>
            </w:r>
          </w:p>
        </w:tc>
      </w:tr>
      <w:tr>
        <w:tblPrEx>
          <w:shd w:val="clear" w:color="auto" w:fill="auto"/>
          <w:tblCellMar>
            <w:top w:w="0" w:type="dxa"/>
            <w:left w:w="108" w:type="dxa"/>
            <w:bottom w:w="0" w:type="dxa"/>
            <w:right w:w="108" w:type="dxa"/>
          </w:tblCellMar>
        </w:tblPrEx>
        <w:trPr>
          <w:trHeight w:val="31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联系人</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电话</w:t>
            </w:r>
          </w:p>
        </w:tc>
        <w:tc>
          <w:tcPr>
            <w:tcW w:w="199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526"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项目简介</w:t>
            </w:r>
          </w:p>
        </w:tc>
        <w:tc>
          <w:tcPr>
            <w:tcW w:w="405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napToGrid/>
              <w:spacing w:line="240" w:lineRule="auto"/>
              <w:ind w:firstLine="480" w:firstLineChars="200"/>
              <w:textAlignment w:val="auto"/>
              <w:rPr>
                <w:rFonts w:hint="eastAsia"/>
              </w:rPr>
            </w:pPr>
            <w:r>
              <w:rPr>
                <w:rFonts w:hint="eastAsia"/>
                <w:lang w:val="en-US" w:eastAsia="zh-CN"/>
              </w:rPr>
              <w:t>按照各级政策文件指示，</w:t>
            </w:r>
            <w:r>
              <w:rPr>
                <w:rFonts w:hint="eastAsia"/>
              </w:rPr>
              <w:t>为推动全县农村电子商务健康快速发展，完善农村市场体系，促进农村流通现代化，助力脱贫攻坚和乡村振兴，结合</w:t>
            </w:r>
            <w:r>
              <w:rPr>
                <w:rFonts w:hint="eastAsia"/>
                <w:lang w:val="en-US" w:eastAsia="zh-CN"/>
              </w:rPr>
              <w:t>和平</w:t>
            </w:r>
            <w:r>
              <w:rPr>
                <w:rFonts w:hint="eastAsia"/>
              </w:rPr>
              <w:t>县实际，特</w:t>
            </w:r>
            <w:r>
              <w:rPr>
                <w:rFonts w:hint="eastAsia"/>
                <w:lang w:val="en-US" w:eastAsia="zh-CN"/>
              </w:rPr>
              <w:t>建设</w:t>
            </w:r>
            <w:r>
              <w:rPr>
                <w:rFonts w:hint="eastAsia"/>
              </w:rPr>
              <w:t>本</w:t>
            </w:r>
            <w:r>
              <w:rPr>
                <w:rFonts w:hint="eastAsia"/>
                <w:lang w:val="en-US" w:eastAsia="zh-CN"/>
              </w:rPr>
              <w:t>项目</w:t>
            </w:r>
            <w:r>
              <w:rPr>
                <w:rFonts w:hint="eastAsia"/>
              </w:rPr>
              <w:t>。</w:t>
            </w:r>
          </w:p>
          <w:p>
            <w:pPr>
              <w:pStyle w:val="16"/>
              <w:keepNext w:val="0"/>
              <w:keepLines w:val="0"/>
              <w:pageBreakBefore w:val="0"/>
              <w:kinsoku/>
              <w:wordWrap/>
              <w:overflowPunct/>
              <w:topLinePunct w:val="0"/>
              <w:bidi w:val="0"/>
              <w:snapToGrid/>
              <w:spacing w:after="0" w:line="240" w:lineRule="auto"/>
              <w:ind w:firstLine="480" w:firstLineChars="200"/>
              <w:textAlignment w:val="auto"/>
              <w:rPr>
                <w:rFonts w:hint="eastAsia"/>
                <w:lang w:val="zh-CN" w:eastAsia="zh-CN"/>
              </w:rPr>
            </w:pPr>
            <w:r>
              <w:rPr>
                <w:rFonts w:hint="eastAsia"/>
                <w:lang w:val="en-US" w:eastAsia="zh-CN"/>
              </w:rPr>
              <w:t>建设内容包含：（一）</w:t>
            </w:r>
            <w:r>
              <w:rPr>
                <w:rFonts w:hint="eastAsia"/>
                <w:lang w:val="zh-CN" w:eastAsia="zh-CN"/>
              </w:rPr>
              <w:t>和平县乡村振兴农产品展销管理平台运营服务。</w:t>
            </w:r>
            <w:r>
              <w:rPr>
                <w:rFonts w:hint="eastAsia"/>
                <w:lang w:val="en-US" w:eastAsia="zh-CN"/>
              </w:rPr>
              <w:t>（二）</w:t>
            </w:r>
            <w:r>
              <w:rPr>
                <w:rFonts w:hint="eastAsia"/>
                <w:lang w:val="zh-CN" w:eastAsia="zh-CN"/>
              </w:rPr>
              <w:t>和平县乡村振兴农产品展销管理平台人员服务；</w:t>
            </w:r>
          </w:p>
          <w:p>
            <w:pPr>
              <w:pStyle w:val="42"/>
              <w:keepNext w:val="0"/>
              <w:keepLines w:val="0"/>
              <w:pageBreakBefore w:val="0"/>
              <w:kinsoku/>
              <w:wordWrap/>
              <w:overflowPunct/>
              <w:topLinePunct w:val="0"/>
              <w:bidi w:val="0"/>
              <w:snapToGrid/>
              <w:spacing w:line="240" w:lineRule="auto"/>
              <w:ind w:firstLine="480" w:firstLineChars="200"/>
              <w:textAlignment w:val="auto"/>
              <w:rPr>
                <w:rFonts w:hint="default"/>
                <w:lang w:val="en-US"/>
              </w:rPr>
            </w:pPr>
            <w:r>
              <w:rPr>
                <w:rFonts w:hint="eastAsia" w:ascii="宋体" w:hAnsi="宋体" w:eastAsia="宋体" w:cs="宋体"/>
                <w:bCs/>
                <w:color w:val="000000" w:themeColor="text1"/>
                <w:kern w:val="0"/>
                <w:sz w:val="24"/>
                <w:szCs w:val="24"/>
                <w:lang w:val="en-US" w:eastAsia="zh-CN" w:bidi="ar-SA"/>
                <w14:textFill>
                  <w14:solidFill>
                    <w14:schemeClr w14:val="tx1"/>
                  </w14:solidFill>
                </w14:textFill>
              </w:rPr>
              <w:t>项目建成后，有利于</w:t>
            </w:r>
            <w:r>
              <w:rPr>
                <w:rFonts w:hint="eastAsia" w:ascii="Times New Roman" w:hAnsi="Times New Roman" w:eastAsia="宋体" w:cs="宋体"/>
                <w:bCs/>
                <w:color w:val="000000"/>
                <w:kern w:val="0"/>
                <w:sz w:val="24"/>
                <w:szCs w:val="28"/>
                <w:lang w:val="en-US" w:eastAsia="zh-CN" w:bidi="ar"/>
              </w:rPr>
              <w:t>推动产业升级转型、吸引资本投资，促进企业增收人民致富。</w:t>
            </w:r>
          </w:p>
        </w:tc>
      </w:tr>
      <w:tr>
        <w:tblPrEx>
          <w:shd w:val="clear" w:color="auto" w:fill="auto"/>
          <w:tblCellMar>
            <w:top w:w="0" w:type="dxa"/>
            <w:left w:w="108" w:type="dxa"/>
            <w:bottom w:w="0" w:type="dxa"/>
            <w:right w:w="108" w:type="dxa"/>
          </w:tblCellMar>
        </w:tblPrEx>
        <w:trPr>
          <w:trHeight w:val="447" w:hRule="atLeast"/>
        </w:trPr>
        <w:tc>
          <w:tcPr>
            <w:tcW w:w="9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项目总投资</w:t>
            </w:r>
          </w:p>
        </w:tc>
        <w:tc>
          <w:tcPr>
            <w:tcW w:w="13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 xml:space="preserve">4416206.40元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软件</w:t>
            </w:r>
            <w:r>
              <w:rPr>
                <w:rFonts w:hint="eastAsia" w:cs="宋体"/>
                <w:i w:val="0"/>
                <w:iCs w:val="0"/>
                <w:color w:val="000000"/>
                <w:kern w:val="0"/>
                <w:sz w:val="24"/>
                <w:szCs w:val="24"/>
                <w:u w:val="none"/>
                <w:lang w:val="en-US" w:eastAsia="zh-CN" w:bidi="ar"/>
              </w:rPr>
              <w:t>开发</w:t>
            </w:r>
          </w:p>
        </w:tc>
        <w:tc>
          <w:tcPr>
            <w:tcW w:w="34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80" w:firstLineChars="200"/>
              <w:jc w:val="both"/>
              <w:textAlignment w:val="center"/>
              <w:rPr>
                <w:rFonts w:hint="default" w:ascii="宋体" w:hAnsi="宋体" w:eastAsia="宋体" w:cs="宋体"/>
                <w:i w:val="0"/>
                <w:iCs w:val="0"/>
                <w:color w:val="000000"/>
                <w:kern w:val="2"/>
                <w:sz w:val="24"/>
                <w:szCs w:val="24"/>
                <w:u w:val="none"/>
                <w:lang w:val="en-US" w:eastAsia="zh-CN" w:bidi="ar-SA"/>
              </w:rPr>
            </w:pPr>
            <w:r>
              <w:rPr>
                <w:rFonts w:hint="eastAsia"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w:t>
            </w:r>
            <w:r>
              <w:rPr>
                <w:rFonts w:hint="eastAsia" w:cs="宋体"/>
                <w:i w:val="0"/>
                <w:iCs w:val="0"/>
                <w:color w:val="000000"/>
                <w:kern w:val="0"/>
                <w:sz w:val="24"/>
                <w:szCs w:val="24"/>
                <w:u w:val="none"/>
                <w:lang w:val="en-US" w:eastAsia="zh-CN" w:bidi="ar"/>
              </w:rPr>
              <w:t>267</w:t>
            </w:r>
            <w:r>
              <w:rPr>
                <w:rFonts w:hint="eastAsia" w:ascii="宋体" w:hAnsi="宋体" w:eastAsia="宋体" w:cs="宋体"/>
                <w:i w:val="0"/>
                <w:iCs w:val="0"/>
                <w:color w:val="000000"/>
                <w:kern w:val="0"/>
                <w:sz w:val="24"/>
                <w:szCs w:val="24"/>
                <w:u w:val="none"/>
                <w:lang w:val="en-US" w:eastAsia="zh-CN" w:bidi="ar"/>
              </w:rPr>
              <w:t>,</w:t>
            </w:r>
            <w:r>
              <w:rPr>
                <w:rFonts w:hint="eastAsia" w:cs="宋体"/>
                <w:i w:val="0"/>
                <w:iCs w:val="0"/>
                <w:color w:val="000000"/>
                <w:kern w:val="0"/>
                <w:sz w:val="24"/>
                <w:szCs w:val="24"/>
                <w:u w:val="none"/>
                <w:lang w:val="en-US" w:eastAsia="zh-CN" w:bidi="ar"/>
              </w:rPr>
              <w:t>9</w:t>
            </w:r>
            <w:r>
              <w:rPr>
                <w:rFonts w:hint="eastAsia" w:ascii="宋体" w:hAnsi="宋体" w:eastAsia="宋体" w:cs="宋体"/>
                <w:i w:val="0"/>
                <w:iCs w:val="0"/>
                <w:color w:val="000000"/>
                <w:kern w:val="0"/>
                <w:sz w:val="24"/>
                <w:szCs w:val="24"/>
                <w:u w:val="none"/>
                <w:lang w:val="en-US" w:eastAsia="zh-CN" w:bidi="ar"/>
              </w:rPr>
              <w:t>00.00元</w:t>
            </w:r>
          </w:p>
        </w:tc>
      </w:tr>
      <w:tr>
        <w:tblPrEx>
          <w:shd w:val="clear" w:color="auto" w:fill="auto"/>
          <w:tblCellMar>
            <w:top w:w="0" w:type="dxa"/>
            <w:left w:w="108" w:type="dxa"/>
            <w:bottom w:w="0" w:type="dxa"/>
            <w:right w:w="108" w:type="dxa"/>
          </w:tblCellMar>
        </w:tblPrEx>
        <w:trPr>
          <w:trHeight w:val="600" w:hRule="atLeast"/>
        </w:trPr>
        <w:tc>
          <w:tcPr>
            <w:tcW w:w="9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cs="宋体"/>
                <w:i w:val="0"/>
                <w:iCs w:val="0"/>
                <w:color w:val="000000"/>
                <w:kern w:val="0"/>
                <w:sz w:val="24"/>
                <w:szCs w:val="24"/>
                <w:u w:val="none"/>
                <w:lang w:val="en-US" w:eastAsia="zh-CN" w:bidi="ar"/>
              </w:rPr>
              <w:t>项目服务</w:t>
            </w:r>
          </w:p>
        </w:tc>
        <w:tc>
          <w:tcPr>
            <w:tcW w:w="199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80" w:firstLineChars="200"/>
              <w:jc w:val="both"/>
              <w:textAlignment w:val="center"/>
              <w:rPr>
                <w:rFonts w:hint="default" w:ascii="宋体" w:hAnsi="宋体" w:eastAsia="宋体" w:cs="宋体"/>
                <w:i w:val="0"/>
                <w:iCs w:val="0"/>
                <w:color w:val="000000"/>
                <w:kern w:val="2"/>
                <w:sz w:val="24"/>
                <w:szCs w:val="24"/>
                <w:u w:val="none"/>
                <w:lang w:val="en-US" w:eastAsia="zh-CN" w:bidi="ar-SA"/>
              </w:rPr>
            </w:pPr>
            <w:r>
              <w:rPr>
                <w:rFonts w:hint="eastAsia"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w:t>
            </w:r>
            <w:r>
              <w:rPr>
                <w:rFonts w:hint="eastAsia" w:cs="宋体"/>
                <w:i w:val="0"/>
                <w:iCs w:val="0"/>
                <w:color w:val="000000"/>
                <w:kern w:val="0"/>
                <w:sz w:val="24"/>
                <w:szCs w:val="24"/>
                <w:u w:val="none"/>
                <w:lang w:val="en-US" w:eastAsia="zh-CN" w:bidi="ar"/>
              </w:rPr>
              <w:t>650</w:t>
            </w:r>
            <w:r>
              <w:rPr>
                <w:rFonts w:hint="eastAsia" w:ascii="宋体" w:hAnsi="宋体" w:eastAsia="宋体" w:cs="宋体"/>
                <w:i w:val="0"/>
                <w:iCs w:val="0"/>
                <w:color w:val="000000"/>
                <w:kern w:val="0"/>
                <w:sz w:val="24"/>
                <w:szCs w:val="24"/>
                <w:u w:val="none"/>
                <w:lang w:val="en-US" w:eastAsia="zh-CN" w:bidi="ar"/>
              </w:rPr>
              <w:t>,</w:t>
            </w:r>
            <w:r>
              <w:rPr>
                <w:rFonts w:hint="eastAsia" w:cs="宋体"/>
                <w:i w:val="0"/>
                <w:iCs w:val="0"/>
                <w:color w:val="000000"/>
                <w:kern w:val="0"/>
                <w:sz w:val="24"/>
                <w:szCs w:val="24"/>
                <w:u w:val="none"/>
                <w:lang w:val="en-US" w:eastAsia="zh-CN" w:bidi="ar"/>
              </w:rPr>
              <w:t>576</w:t>
            </w:r>
            <w:r>
              <w:rPr>
                <w:rFonts w:hint="eastAsia" w:ascii="宋体" w:hAnsi="宋体" w:eastAsia="宋体" w:cs="宋体"/>
                <w:i w:val="0"/>
                <w:iCs w:val="0"/>
                <w:color w:val="000000"/>
                <w:kern w:val="0"/>
                <w:sz w:val="24"/>
                <w:szCs w:val="24"/>
                <w:u w:val="none"/>
                <w:lang w:val="en-US" w:eastAsia="zh-CN" w:bidi="ar"/>
              </w:rPr>
              <w:t>.</w:t>
            </w:r>
            <w:r>
              <w:rPr>
                <w:rFonts w:hint="eastAsia" w:cs="宋体"/>
                <w:i w:val="0"/>
                <w:iCs w:val="0"/>
                <w:color w:val="000000"/>
                <w:kern w:val="0"/>
                <w:sz w:val="24"/>
                <w:szCs w:val="24"/>
                <w:u w:val="none"/>
                <w:lang w:val="en-US" w:eastAsia="zh-CN" w:bidi="ar"/>
              </w:rPr>
              <w:t>48</w:t>
            </w:r>
            <w:r>
              <w:rPr>
                <w:rFonts w:hint="eastAsia" w:ascii="宋体" w:hAnsi="宋体" w:eastAsia="宋体" w:cs="宋体"/>
                <w:i w:val="0"/>
                <w:iCs w:val="0"/>
                <w:color w:val="000000"/>
                <w:kern w:val="0"/>
                <w:sz w:val="24"/>
                <w:szCs w:val="24"/>
                <w:u w:val="none"/>
                <w:lang w:val="en-US" w:eastAsia="zh-CN" w:bidi="ar"/>
              </w:rPr>
              <w:t>元</w:t>
            </w:r>
          </w:p>
        </w:tc>
      </w:tr>
      <w:tr>
        <w:tblPrEx>
          <w:shd w:val="clear" w:color="auto" w:fill="auto"/>
          <w:tblCellMar>
            <w:top w:w="0" w:type="dxa"/>
            <w:left w:w="108" w:type="dxa"/>
            <w:bottom w:w="0" w:type="dxa"/>
            <w:right w:w="108" w:type="dxa"/>
          </w:tblCellMar>
        </w:tblPrEx>
        <w:trPr>
          <w:trHeight w:val="600" w:hRule="atLeast"/>
        </w:trPr>
        <w:tc>
          <w:tcPr>
            <w:tcW w:w="94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立项时间</w:t>
            </w:r>
          </w:p>
        </w:tc>
        <w:tc>
          <w:tcPr>
            <w:tcW w:w="1359"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2021年</w:t>
            </w:r>
            <w:r>
              <w:rPr>
                <w:rFonts w:hint="eastAsia"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月</w:t>
            </w:r>
          </w:p>
        </w:tc>
        <w:tc>
          <w:tcPr>
            <w:tcW w:w="694"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预计验收时间</w:t>
            </w:r>
          </w:p>
        </w:tc>
        <w:tc>
          <w:tcPr>
            <w:tcW w:w="1998" w:type="pct"/>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w:t>
            </w:r>
            <w:r>
              <w:rPr>
                <w:rFonts w:hint="eastAsia"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年</w:t>
            </w:r>
            <w:r>
              <w:rPr>
                <w:rFonts w:hint="eastAsia" w:cs="宋体"/>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月</w:t>
            </w:r>
          </w:p>
        </w:tc>
      </w:tr>
      <w:tr>
        <w:tblPrEx>
          <w:shd w:val="clear" w:color="auto" w:fill="auto"/>
          <w:tblCellMar>
            <w:top w:w="0" w:type="dxa"/>
            <w:left w:w="108" w:type="dxa"/>
            <w:bottom w:w="0" w:type="dxa"/>
            <w:right w:w="108" w:type="dxa"/>
          </w:tblCellMar>
        </w:tblPrEx>
        <w:trPr>
          <w:trHeight w:val="315" w:hRule="atLeast"/>
        </w:trPr>
        <w:tc>
          <w:tcPr>
            <w:tcW w:w="9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本项目数据内容</w:t>
            </w:r>
          </w:p>
        </w:tc>
        <w:tc>
          <w:tcPr>
            <w:tcW w:w="13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系统功能</w:t>
            </w:r>
          </w:p>
        </w:tc>
        <w:tc>
          <w:tcPr>
            <w:tcW w:w="142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产生数据名称</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共享周期</w:t>
            </w:r>
          </w:p>
        </w:tc>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提供方式</w:t>
            </w:r>
          </w:p>
        </w:tc>
      </w:tr>
      <w:tr>
        <w:tblPrEx>
          <w:shd w:val="clear" w:color="auto" w:fill="auto"/>
          <w:tblCellMar>
            <w:top w:w="0" w:type="dxa"/>
            <w:left w:w="108" w:type="dxa"/>
            <w:bottom w:w="0" w:type="dxa"/>
            <w:right w:w="108" w:type="dxa"/>
          </w:tblCellMar>
        </w:tblPrEx>
        <w:trPr>
          <w:trHeight w:val="862" w:hRule="atLeast"/>
        </w:trPr>
        <w:tc>
          <w:tcPr>
            <w:tcW w:w="9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1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农产品在线销售统计数据</w:t>
            </w:r>
          </w:p>
        </w:tc>
        <w:tc>
          <w:tcPr>
            <w:tcW w:w="1425" w:type="pct"/>
            <w:gridSpan w:val="2"/>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农产品在线销售统计</w:t>
            </w:r>
          </w:p>
        </w:tc>
        <w:tc>
          <w:tcPr>
            <w:tcW w:w="52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cs="宋体"/>
                <w:i w:val="0"/>
                <w:iCs w:val="0"/>
                <w:color w:val="000000"/>
                <w:kern w:val="0"/>
                <w:sz w:val="24"/>
                <w:szCs w:val="24"/>
                <w:u w:val="none"/>
                <w:lang w:val="en-US" w:eastAsia="zh-CN" w:bidi="ar"/>
              </w:rPr>
              <w:t>实时</w:t>
            </w:r>
          </w:p>
        </w:tc>
        <w:tc>
          <w:tcPr>
            <w:tcW w:w="73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default" w:ascii="宋体" w:hAnsi="宋体" w:eastAsia="宋体" w:cs="宋体"/>
                <w:i w:val="0"/>
                <w:iCs w:val="0"/>
                <w:color w:val="000000"/>
                <w:sz w:val="24"/>
                <w:szCs w:val="24"/>
                <w:u w:val="none"/>
                <w:lang w:val="en-US" w:eastAsia="zh-CN"/>
              </w:rPr>
              <w:t>无条件共享</w:t>
            </w:r>
          </w:p>
        </w:tc>
      </w:tr>
      <w:tr>
        <w:tblPrEx>
          <w:shd w:val="clear" w:color="auto" w:fill="auto"/>
          <w:tblCellMar>
            <w:top w:w="0" w:type="dxa"/>
            <w:left w:w="108" w:type="dxa"/>
            <w:bottom w:w="0" w:type="dxa"/>
            <w:right w:w="108" w:type="dxa"/>
          </w:tblCellMar>
        </w:tblPrEx>
        <w:trPr>
          <w:trHeight w:val="740" w:hRule="atLeast"/>
        </w:trPr>
        <w:tc>
          <w:tcPr>
            <w:tcW w:w="9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1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区域销售数据</w:t>
            </w:r>
          </w:p>
        </w:tc>
        <w:tc>
          <w:tcPr>
            <w:tcW w:w="1425"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区域销售数据汇总</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cs="宋体"/>
                <w:i w:val="0"/>
                <w:iCs w:val="0"/>
                <w:color w:val="000000"/>
                <w:kern w:val="0"/>
                <w:sz w:val="24"/>
                <w:szCs w:val="24"/>
                <w:u w:val="none"/>
                <w:lang w:val="en-US" w:eastAsia="zh-CN" w:bidi="ar"/>
              </w:rPr>
              <w:t>实时</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4"/>
                <w:szCs w:val="24"/>
                <w:u w:val="none"/>
                <w:lang w:val="en-US" w:eastAsia="zh-CN" w:bidi="ar-SA"/>
              </w:rPr>
            </w:pPr>
            <w:r>
              <w:rPr>
                <w:rFonts w:hint="default" w:ascii="宋体" w:hAnsi="宋体" w:eastAsia="宋体" w:cs="宋体"/>
                <w:i w:val="0"/>
                <w:iCs w:val="0"/>
                <w:color w:val="000000"/>
                <w:sz w:val="24"/>
                <w:szCs w:val="24"/>
                <w:u w:val="none"/>
                <w:lang w:val="en-US" w:eastAsia="zh-CN"/>
              </w:rPr>
              <w:t>无条件共享</w:t>
            </w:r>
          </w:p>
        </w:tc>
      </w:tr>
      <w:tr>
        <w:tblPrEx>
          <w:tblCellMar>
            <w:top w:w="0" w:type="dxa"/>
            <w:left w:w="108" w:type="dxa"/>
            <w:bottom w:w="0" w:type="dxa"/>
            <w:right w:w="108" w:type="dxa"/>
          </w:tblCellMar>
        </w:tblPrEx>
        <w:trPr>
          <w:trHeight w:val="835" w:hRule="atLeast"/>
        </w:trPr>
        <w:tc>
          <w:tcPr>
            <w:tcW w:w="9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1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三品一标数据</w:t>
            </w:r>
          </w:p>
        </w:tc>
        <w:tc>
          <w:tcPr>
            <w:tcW w:w="1425"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三品一标</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cs="宋体"/>
                <w:i w:val="0"/>
                <w:iCs w:val="0"/>
                <w:color w:val="000000"/>
                <w:kern w:val="0"/>
                <w:sz w:val="24"/>
                <w:szCs w:val="24"/>
                <w:u w:val="none"/>
                <w:lang w:val="en-US" w:eastAsia="zh-CN" w:bidi="ar"/>
              </w:rPr>
              <w:t>实时</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4"/>
                <w:szCs w:val="24"/>
                <w:u w:val="none"/>
                <w:lang w:val="en-US" w:eastAsia="zh-CN" w:bidi="ar-SA"/>
              </w:rPr>
            </w:pPr>
            <w:r>
              <w:rPr>
                <w:rFonts w:hint="default" w:ascii="宋体" w:hAnsi="宋体" w:eastAsia="宋体" w:cs="宋体"/>
                <w:i w:val="0"/>
                <w:iCs w:val="0"/>
                <w:color w:val="000000"/>
                <w:sz w:val="24"/>
                <w:szCs w:val="24"/>
                <w:u w:val="none"/>
                <w:lang w:val="en-US" w:eastAsia="zh-CN"/>
              </w:rPr>
              <w:t>无条件共享</w:t>
            </w:r>
          </w:p>
        </w:tc>
      </w:tr>
      <w:tr>
        <w:tblPrEx>
          <w:shd w:val="clear" w:color="auto" w:fill="auto"/>
          <w:tblCellMar>
            <w:top w:w="0" w:type="dxa"/>
            <w:left w:w="108" w:type="dxa"/>
            <w:bottom w:w="0" w:type="dxa"/>
            <w:right w:w="108" w:type="dxa"/>
          </w:tblCellMar>
        </w:tblPrEx>
        <w:trPr>
          <w:trHeight w:val="816" w:hRule="atLeast"/>
        </w:trPr>
        <w:tc>
          <w:tcPr>
            <w:tcW w:w="9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1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物流数据</w:t>
            </w:r>
          </w:p>
        </w:tc>
        <w:tc>
          <w:tcPr>
            <w:tcW w:w="1425"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物流</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cs="宋体"/>
                <w:i w:val="0"/>
                <w:iCs w:val="0"/>
                <w:color w:val="000000"/>
                <w:kern w:val="0"/>
                <w:sz w:val="24"/>
                <w:szCs w:val="24"/>
                <w:u w:val="none"/>
                <w:lang w:val="en-US" w:eastAsia="zh-CN" w:bidi="ar"/>
              </w:rPr>
              <w:t>实时</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4"/>
                <w:szCs w:val="24"/>
                <w:u w:val="none"/>
                <w:lang w:val="en-US" w:eastAsia="zh-CN" w:bidi="ar-SA"/>
              </w:rPr>
            </w:pPr>
            <w:r>
              <w:rPr>
                <w:rFonts w:hint="default" w:ascii="宋体" w:hAnsi="宋体" w:eastAsia="宋体" w:cs="宋体"/>
                <w:i w:val="0"/>
                <w:iCs w:val="0"/>
                <w:color w:val="000000"/>
                <w:sz w:val="24"/>
                <w:szCs w:val="24"/>
                <w:u w:val="none"/>
                <w:lang w:val="en-US" w:eastAsia="zh-CN"/>
              </w:rPr>
              <w:t>无条件共享</w:t>
            </w:r>
          </w:p>
        </w:tc>
      </w:tr>
      <w:tr>
        <w:tblPrEx>
          <w:shd w:val="clear" w:color="auto" w:fill="auto"/>
          <w:tblCellMar>
            <w:top w:w="0" w:type="dxa"/>
            <w:left w:w="108" w:type="dxa"/>
            <w:bottom w:w="0" w:type="dxa"/>
            <w:right w:w="108" w:type="dxa"/>
          </w:tblCellMar>
        </w:tblPrEx>
        <w:trPr>
          <w:trHeight w:val="816" w:hRule="atLeast"/>
        </w:trPr>
        <w:tc>
          <w:tcPr>
            <w:tcW w:w="9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1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站点统计数据</w:t>
            </w:r>
          </w:p>
        </w:tc>
        <w:tc>
          <w:tcPr>
            <w:tcW w:w="1425"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站点统计</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cs="宋体"/>
                <w:i w:val="0"/>
                <w:iCs w:val="0"/>
                <w:color w:val="000000"/>
                <w:kern w:val="0"/>
                <w:sz w:val="24"/>
                <w:szCs w:val="24"/>
                <w:u w:val="none"/>
                <w:lang w:val="en-US" w:eastAsia="zh-CN" w:bidi="ar"/>
              </w:rPr>
              <w:t>实时</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4"/>
                <w:szCs w:val="24"/>
                <w:u w:val="none"/>
                <w:lang w:val="en-US" w:eastAsia="zh-CN" w:bidi="ar-SA"/>
              </w:rPr>
            </w:pPr>
            <w:r>
              <w:rPr>
                <w:rFonts w:hint="default" w:ascii="宋体" w:hAnsi="宋体" w:eastAsia="宋体" w:cs="宋体"/>
                <w:i w:val="0"/>
                <w:iCs w:val="0"/>
                <w:color w:val="000000"/>
                <w:sz w:val="24"/>
                <w:szCs w:val="24"/>
                <w:u w:val="none"/>
                <w:lang w:val="en-US" w:eastAsia="zh-CN"/>
              </w:rPr>
              <w:t>无条件共享</w:t>
            </w:r>
          </w:p>
        </w:tc>
      </w:tr>
      <w:tr>
        <w:tblPrEx>
          <w:shd w:val="clear" w:color="auto" w:fill="auto"/>
          <w:tblCellMar>
            <w:top w:w="0" w:type="dxa"/>
            <w:left w:w="108" w:type="dxa"/>
            <w:bottom w:w="0" w:type="dxa"/>
            <w:right w:w="108" w:type="dxa"/>
          </w:tblCellMar>
        </w:tblPrEx>
        <w:trPr>
          <w:trHeight w:val="704" w:hRule="atLeast"/>
        </w:trPr>
        <w:tc>
          <w:tcPr>
            <w:tcW w:w="9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1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代购信息</w:t>
            </w:r>
          </w:p>
        </w:tc>
        <w:tc>
          <w:tcPr>
            <w:tcW w:w="1425"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代购信息</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cs="宋体"/>
                <w:i w:val="0"/>
                <w:iCs w:val="0"/>
                <w:color w:val="000000"/>
                <w:kern w:val="0"/>
                <w:sz w:val="24"/>
                <w:szCs w:val="24"/>
                <w:u w:val="none"/>
                <w:lang w:val="en-US" w:eastAsia="zh-CN" w:bidi="ar"/>
              </w:rPr>
              <w:t>实时</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4"/>
                <w:szCs w:val="24"/>
                <w:u w:val="none"/>
                <w:lang w:val="en-US" w:eastAsia="zh-CN" w:bidi="ar-SA"/>
              </w:rPr>
            </w:pPr>
            <w:r>
              <w:rPr>
                <w:rFonts w:hint="default" w:ascii="宋体" w:hAnsi="宋体" w:eastAsia="宋体" w:cs="宋体"/>
                <w:i w:val="0"/>
                <w:iCs w:val="0"/>
                <w:color w:val="000000"/>
                <w:sz w:val="24"/>
                <w:szCs w:val="24"/>
                <w:u w:val="none"/>
                <w:lang w:val="en-US" w:eastAsia="zh-CN"/>
              </w:rPr>
              <w:t>无条件共享</w:t>
            </w:r>
          </w:p>
        </w:tc>
      </w:tr>
      <w:tr>
        <w:tblPrEx>
          <w:shd w:val="clear" w:color="auto" w:fill="auto"/>
          <w:tblCellMar>
            <w:top w:w="0" w:type="dxa"/>
            <w:left w:w="108" w:type="dxa"/>
            <w:bottom w:w="0" w:type="dxa"/>
            <w:right w:w="108" w:type="dxa"/>
          </w:tblCellMar>
        </w:tblPrEx>
        <w:trPr>
          <w:trHeight w:val="779" w:hRule="atLeast"/>
        </w:trPr>
        <w:tc>
          <w:tcPr>
            <w:tcW w:w="9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1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代销信息</w:t>
            </w:r>
          </w:p>
        </w:tc>
        <w:tc>
          <w:tcPr>
            <w:tcW w:w="1425"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代销信息</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cs="宋体"/>
                <w:i w:val="0"/>
                <w:iCs w:val="0"/>
                <w:color w:val="000000"/>
                <w:kern w:val="0"/>
                <w:sz w:val="24"/>
                <w:szCs w:val="24"/>
                <w:u w:val="none"/>
                <w:lang w:val="en-US" w:eastAsia="zh-CN" w:bidi="ar"/>
              </w:rPr>
              <w:t>实时</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4"/>
                <w:szCs w:val="24"/>
                <w:u w:val="none"/>
                <w:lang w:val="en-US" w:eastAsia="zh-CN" w:bidi="ar-SA"/>
              </w:rPr>
            </w:pPr>
            <w:r>
              <w:rPr>
                <w:rFonts w:hint="default" w:ascii="宋体" w:hAnsi="宋体" w:eastAsia="宋体" w:cs="宋体"/>
                <w:i w:val="0"/>
                <w:iCs w:val="0"/>
                <w:color w:val="000000"/>
                <w:sz w:val="24"/>
                <w:szCs w:val="24"/>
                <w:u w:val="none"/>
                <w:lang w:val="en-US" w:eastAsia="zh-CN"/>
              </w:rPr>
              <w:t>无条件共享</w:t>
            </w:r>
          </w:p>
        </w:tc>
      </w:tr>
      <w:tr>
        <w:tblPrEx>
          <w:shd w:val="clear" w:color="auto" w:fill="auto"/>
          <w:tblCellMar>
            <w:top w:w="0" w:type="dxa"/>
            <w:left w:w="108" w:type="dxa"/>
            <w:bottom w:w="0" w:type="dxa"/>
            <w:right w:w="108" w:type="dxa"/>
          </w:tblCellMar>
        </w:tblPrEx>
        <w:trPr>
          <w:trHeight w:val="853" w:hRule="atLeast"/>
        </w:trPr>
        <w:tc>
          <w:tcPr>
            <w:tcW w:w="9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1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便民服务信息</w:t>
            </w:r>
          </w:p>
        </w:tc>
        <w:tc>
          <w:tcPr>
            <w:tcW w:w="1425"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color w:val="000000"/>
                <w:kern w:val="0"/>
                <w:sz w:val="24"/>
                <w:szCs w:val="24"/>
              </w:rPr>
              <w:t>便民服务信息</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cs="宋体"/>
                <w:i w:val="0"/>
                <w:iCs w:val="0"/>
                <w:color w:val="000000"/>
                <w:kern w:val="0"/>
                <w:sz w:val="24"/>
                <w:szCs w:val="24"/>
                <w:u w:val="none"/>
                <w:lang w:val="en-US" w:eastAsia="zh-CN" w:bidi="ar"/>
              </w:rPr>
              <w:t>实时</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4"/>
                <w:szCs w:val="24"/>
                <w:u w:val="none"/>
                <w:lang w:val="en-US" w:eastAsia="zh-CN" w:bidi="ar-SA"/>
              </w:rPr>
            </w:pPr>
            <w:r>
              <w:rPr>
                <w:rFonts w:hint="default" w:ascii="宋体" w:hAnsi="宋体" w:eastAsia="宋体" w:cs="宋体"/>
                <w:i w:val="0"/>
                <w:iCs w:val="0"/>
                <w:color w:val="000000"/>
                <w:sz w:val="24"/>
                <w:szCs w:val="24"/>
                <w:u w:val="none"/>
                <w:lang w:val="en-US" w:eastAsia="zh-CN"/>
              </w:rPr>
              <w:t>无条件共享</w:t>
            </w:r>
          </w:p>
        </w:tc>
      </w:tr>
    </w:tbl>
    <w:p>
      <w:pPr>
        <w:rPr>
          <w:rFonts w:hint="eastAsia"/>
          <w:lang w:val="zh-CN"/>
        </w:rPr>
      </w:pPr>
    </w:p>
    <w:p>
      <w:pPr>
        <w:pStyle w:val="3"/>
        <w:tabs>
          <w:tab w:val="clear" w:pos="3402"/>
          <w:tab w:val="clear" w:pos="3828"/>
        </w:tabs>
        <w:rPr>
          <w:rFonts w:ascii="Times New Roman" w:hAnsi="Times New Roman"/>
          <w:color w:val="000000" w:themeColor="text1"/>
          <w:szCs w:val="32"/>
          <w14:textFill>
            <w14:solidFill>
              <w14:schemeClr w14:val="tx1"/>
            </w14:solidFill>
          </w14:textFill>
        </w:rPr>
      </w:pPr>
      <w:bookmarkStart w:id="165" w:name="_Toc27680526"/>
      <w:bookmarkStart w:id="166" w:name="_Toc27703"/>
      <w:bookmarkStart w:id="167" w:name="_Toc27936003"/>
      <w:r>
        <w:rPr>
          <w:rFonts w:hint="eastAsia" w:ascii="Times New Roman" w:hAnsi="Times New Roman"/>
          <w:color w:val="000000" w:themeColor="text1"/>
          <w:szCs w:val="32"/>
          <w14:textFill>
            <w14:solidFill>
              <w14:schemeClr w14:val="tx1"/>
            </w14:solidFill>
          </w14:textFill>
        </w:rPr>
        <w:t>系统安全设计</w:t>
      </w:r>
      <w:bookmarkEnd w:id="145"/>
      <w:bookmarkEnd w:id="165"/>
      <w:bookmarkEnd w:id="166"/>
      <w:bookmarkEnd w:id="167"/>
    </w:p>
    <w:p>
      <w:pPr>
        <w:pStyle w:val="4"/>
        <w:rPr>
          <w:color w:val="000000" w:themeColor="text1"/>
          <w14:textFill>
            <w14:solidFill>
              <w14:schemeClr w14:val="tx1"/>
            </w14:solidFill>
          </w14:textFill>
        </w:rPr>
      </w:pPr>
      <w:bookmarkStart w:id="168" w:name="_Toc27680527"/>
      <w:bookmarkStart w:id="169" w:name="_Toc6288"/>
      <w:bookmarkStart w:id="170" w:name="_Toc27936004"/>
      <w:r>
        <w:rPr>
          <w:rFonts w:hint="eastAsia"/>
          <w:color w:val="000000" w:themeColor="text1"/>
          <w14:textFill>
            <w14:solidFill>
              <w14:schemeClr w14:val="tx1"/>
            </w14:solidFill>
          </w14:textFill>
        </w:rPr>
        <w:t>信息系统安全等级定级</w:t>
      </w:r>
      <w:bookmarkEnd w:id="168"/>
      <w:bookmarkEnd w:id="169"/>
      <w:bookmarkEnd w:id="170"/>
    </w:p>
    <w:p>
      <w:pPr>
        <w:bidi w:val="0"/>
        <w:rPr>
          <w:rFonts w:hint="eastAsia"/>
          <w:lang w:val="zh-CN"/>
        </w:rPr>
      </w:pPr>
      <w:r>
        <w:rPr>
          <w:rFonts w:hint="eastAsia"/>
        </w:rPr>
        <w:t>根据国家标准《信息系统安全等级保护定级指南》（GB/T22240-20</w:t>
      </w:r>
      <w:r>
        <w:rPr>
          <w:rFonts w:hint="eastAsia"/>
          <w:lang w:val="en-US" w:eastAsia="zh-CN"/>
        </w:rPr>
        <w:t>20</w:t>
      </w:r>
      <w:r>
        <w:rPr>
          <w:rFonts w:hint="eastAsia"/>
        </w:rPr>
        <w:t>）有关要求，本期项目按照二级等保标准进行实施</w:t>
      </w:r>
      <w:r>
        <w:rPr>
          <w:rFonts w:hint="eastAsia"/>
          <w:lang w:eastAsia="zh-CN"/>
        </w:rPr>
        <w:t>，</w:t>
      </w:r>
      <w:r>
        <w:rPr>
          <w:rFonts w:hint="eastAsia"/>
          <w:lang w:val="en-US" w:eastAsia="zh-CN"/>
        </w:rPr>
        <w:t>等保测评由河源市政务服务数据管理局统筹解决</w:t>
      </w:r>
      <w:r>
        <w:rPr>
          <w:rFonts w:hint="eastAsia"/>
        </w:rPr>
        <w:t>。</w:t>
      </w:r>
    </w:p>
    <w:p>
      <w:pPr>
        <w:pStyle w:val="4"/>
        <w:rPr>
          <w:color w:val="000000" w:themeColor="text1"/>
          <w14:textFill>
            <w14:solidFill>
              <w14:schemeClr w14:val="tx1"/>
            </w14:solidFill>
          </w14:textFill>
        </w:rPr>
      </w:pPr>
      <w:bookmarkStart w:id="171" w:name="_Toc27936005"/>
      <w:bookmarkStart w:id="172" w:name="_Toc13439"/>
      <w:bookmarkStart w:id="173" w:name="_Toc27680528"/>
      <w:r>
        <w:rPr>
          <w:rFonts w:hint="eastAsia"/>
          <w:color w:val="000000" w:themeColor="text1"/>
          <w14:textFill>
            <w14:solidFill>
              <w14:schemeClr w14:val="tx1"/>
            </w14:solidFill>
          </w14:textFill>
        </w:rPr>
        <w:t>信息系统安全技术方案</w:t>
      </w:r>
      <w:bookmarkEnd w:id="171"/>
      <w:bookmarkEnd w:id="172"/>
      <w:bookmarkEnd w:id="173"/>
    </w:p>
    <w:p>
      <w:pPr>
        <w:pStyle w:val="5"/>
        <w:ind w:leftChars="0"/>
      </w:pPr>
      <w:bookmarkStart w:id="174" w:name="_Toc23323851"/>
      <w:bookmarkStart w:id="175" w:name="_Toc52265718"/>
      <w:bookmarkStart w:id="176" w:name="_Toc19180061"/>
      <w:bookmarkStart w:id="177" w:name="_Toc383951850"/>
      <w:bookmarkStart w:id="178" w:name="_Toc41418775"/>
      <w:bookmarkStart w:id="179" w:name="_Toc446088060"/>
      <w:bookmarkStart w:id="180" w:name="_Toc2724"/>
      <w:bookmarkStart w:id="181" w:name="_Toc18602234"/>
      <w:bookmarkStart w:id="182" w:name="_Toc398874095"/>
      <w:bookmarkStart w:id="183" w:name="_Toc40944593"/>
      <w:bookmarkStart w:id="184" w:name="_Toc41599981"/>
      <w:bookmarkStart w:id="185" w:name="_Toc3315"/>
      <w:r>
        <w:rPr>
          <w:rFonts w:hint="eastAsia"/>
        </w:rPr>
        <w:t>物理安全</w:t>
      </w:r>
      <w:bookmarkEnd w:id="174"/>
      <w:bookmarkEnd w:id="175"/>
      <w:bookmarkEnd w:id="176"/>
      <w:bookmarkEnd w:id="177"/>
      <w:bookmarkEnd w:id="178"/>
      <w:bookmarkEnd w:id="179"/>
      <w:bookmarkEnd w:id="180"/>
      <w:bookmarkEnd w:id="181"/>
      <w:bookmarkEnd w:id="182"/>
      <w:bookmarkEnd w:id="183"/>
      <w:bookmarkEnd w:id="184"/>
      <w:bookmarkEnd w:id="185"/>
      <w:r>
        <w:rPr>
          <w:rFonts w:hint="eastAsia"/>
        </w:rPr>
        <w:tab/>
      </w:r>
    </w:p>
    <w:p>
      <w:pPr>
        <w:ind w:firstLine="480"/>
      </w:pPr>
      <w:r>
        <w:rPr>
          <w:rFonts w:hint="eastAsia"/>
        </w:rPr>
        <w:t>物理安全主要是项目建设的物理位置安全，具体指机房的防火、防盗、防静</w:t>
      </w:r>
      <w:bookmarkStart w:id="446" w:name="_GoBack"/>
      <w:r>
        <w:rPr>
          <w:rFonts w:hint="eastAsia"/>
        </w:rPr>
        <w:t>电、防破坏等措施，以及出入机房的控制机制等方面。</w:t>
      </w:r>
    </w:p>
    <w:bookmarkEnd w:id="446"/>
    <w:p>
      <w:pPr>
        <w:ind w:firstLine="480"/>
      </w:pPr>
      <w:r>
        <w:rPr>
          <w:rFonts w:hint="eastAsia"/>
        </w:rPr>
        <w:t>本项目建设中，农产品展销管理平台</w:t>
      </w:r>
      <w:r>
        <w:rPr>
          <w:rFonts w:hint="eastAsia"/>
          <w:lang w:val="en-US" w:eastAsia="zh-CN"/>
        </w:rPr>
        <w:t>部署在云服务器上，云服务器、存储、数据库供应商</w:t>
      </w:r>
      <w:r>
        <w:rPr>
          <w:rFonts w:hint="eastAsia"/>
        </w:rPr>
        <w:t>机房相关物理安全方面设计和建设都</w:t>
      </w:r>
      <w:r>
        <w:rPr>
          <w:rFonts w:hint="eastAsia"/>
          <w:lang w:val="en-US" w:eastAsia="zh-CN"/>
        </w:rPr>
        <w:t>需</w:t>
      </w:r>
      <w:r>
        <w:rPr>
          <w:rFonts w:hint="eastAsia"/>
        </w:rPr>
        <w:t>达到相关物理安全保护的基本标准，满足本项目建设物理安全的要求。</w:t>
      </w:r>
    </w:p>
    <w:p>
      <w:pPr>
        <w:pStyle w:val="5"/>
        <w:ind w:leftChars="0"/>
      </w:pPr>
      <w:bookmarkStart w:id="186" w:name="_Toc41599982"/>
      <w:bookmarkStart w:id="187" w:name="_Toc383951851"/>
      <w:bookmarkStart w:id="188" w:name="_Toc23323852"/>
      <w:bookmarkStart w:id="189" w:name="_Toc52265719"/>
      <w:bookmarkStart w:id="190" w:name="_Toc19180062"/>
      <w:bookmarkStart w:id="191" w:name="_Toc18602235"/>
      <w:bookmarkStart w:id="192" w:name="_Toc398874096"/>
      <w:bookmarkStart w:id="193" w:name="_Toc446088061"/>
      <w:bookmarkStart w:id="194" w:name="_Toc40944594"/>
      <w:bookmarkStart w:id="195" w:name="_Toc20067"/>
      <w:bookmarkStart w:id="196" w:name="_Toc41418776"/>
      <w:bookmarkStart w:id="197" w:name="_Toc4416"/>
      <w:r>
        <w:rPr>
          <w:rFonts w:hint="eastAsia"/>
        </w:rPr>
        <w:t>网络安全</w:t>
      </w:r>
      <w:bookmarkEnd w:id="186"/>
      <w:bookmarkEnd w:id="187"/>
      <w:bookmarkEnd w:id="188"/>
      <w:bookmarkEnd w:id="189"/>
      <w:bookmarkEnd w:id="190"/>
      <w:bookmarkEnd w:id="191"/>
      <w:bookmarkEnd w:id="192"/>
      <w:bookmarkEnd w:id="193"/>
      <w:bookmarkEnd w:id="194"/>
      <w:bookmarkEnd w:id="195"/>
      <w:bookmarkEnd w:id="196"/>
      <w:bookmarkEnd w:id="197"/>
    </w:p>
    <w:p>
      <w:pPr>
        <w:ind w:firstLine="480"/>
      </w:pPr>
      <w:r>
        <w:rPr>
          <w:rFonts w:hint="eastAsia"/>
        </w:rPr>
        <w:t>农产品展销管理平台系统</w:t>
      </w:r>
      <w:r>
        <w:t>建设在</w:t>
      </w:r>
      <w:r>
        <w:rPr>
          <w:rFonts w:hint="eastAsia"/>
        </w:rPr>
        <w:t>信息</w:t>
      </w:r>
      <w:r>
        <w:t>安全方面应满足国家信息安全等级保护</w:t>
      </w:r>
      <w:r>
        <w:rPr>
          <w:rFonts w:hint="eastAsia"/>
        </w:rPr>
        <w:t>二</w:t>
      </w:r>
      <w:r>
        <w:t>级要求</w:t>
      </w:r>
      <w:r>
        <w:rPr>
          <w:rFonts w:hint="eastAsia"/>
        </w:rPr>
        <w:t>，</w:t>
      </w:r>
      <w:r>
        <w:t>具体要求参考</w:t>
      </w:r>
      <w:r>
        <w:rPr>
          <w:rFonts w:hint="eastAsia"/>
        </w:rPr>
        <w:t>《信息安全技术信息系统安全等级保护定级指南》（GB/T 22240-20</w:t>
      </w:r>
      <w:r>
        <w:rPr>
          <w:rFonts w:hint="eastAsia"/>
          <w:lang w:val="en-US" w:eastAsia="zh-CN"/>
        </w:rPr>
        <w:t>20</w:t>
      </w:r>
      <w:r>
        <w:rPr>
          <w:rFonts w:hint="eastAsia"/>
        </w:rPr>
        <w:t>）和《信息安全技术网络安全等级保护基本要求》（GB/T 22239-2019）等</w:t>
      </w:r>
      <w:r>
        <w:t>国家信息安全等级保护管理标准</w:t>
      </w:r>
      <w:r>
        <w:rPr>
          <w:rFonts w:hint="eastAsia"/>
        </w:rPr>
        <w:t>。</w:t>
      </w:r>
    </w:p>
    <w:p>
      <w:pPr>
        <w:pStyle w:val="5"/>
        <w:ind w:leftChars="0"/>
      </w:pPr>
      <w:bookmarkStart w:id="198" w:name="_Toc6366"/>
      <w:bookmarkStart w:id="199" w:name="_Toc18602236"/>
      <w:bookmarkStart w:id="200" w:name="_Toc383951852"/>
      <w:bookmarkStart w:id="201" w:name="_Toc25611"/>
      <w:bookmarkStart w:id="202" w:name="_Toc41418777"/>
      <w:bookmarkStart w:id="203" w:name="_Toc19180063"/>
      <w:bookmarkStart w:id="204" w:name="_Toc40944595"/>
      <w:bookmarkStart w:id="205" w:name="_Toc41599983"/>
      <w:bookmarkStart w:id="206" w:name="_Toc23323853"/>
      <w:bookmarkStart w:id="207" w:name="_Toc446088062"/>
      <w:bookmarkStart w:id="208" w:name="_Toc52265720"/>
      <w:bookmarkStart w:id="209" w:name="_Toc398874097"/>
      <w:r>
        <w:rPr>
          <w:rFonts w:hint="eastAsia"/>
        </w:rPr>
        <w:t>主机安全</w:t>
      </w:r>
      <w:bookmarkEnd w:id="198"/>
      <w:bookmarkEnd w:id="199"/>
      <w:bookmarkEnd w:id="200"/>
      <w:bookmarkEnd w:id="201"/>
      <w:bookmarkEnd w:id="202"/>
      <w:bookmarkEnd w:id="203"/>
      <w:bookmarkEnd w:id="204"/>
      <w:bookmarkEnd w:id="205"/>
      <w:bookmarkEnd w:id="206"/>
      <w:bookmarkEnd w:id="207"/>
      <w:bookmarkEnd w:id="208"/>
      <w:bookmarkEnd w:id="209"/>
    </w:p>
    <w:p>
      <w:pPr>
        <w:ind w:firstLine="480"/>
      </w:pPr>
      <w:r>
        <w:rPr>
          <w:rFonts w:hint="eastAsia"/>
        </w:rPr>
        <w:t>主机安全应做到对登录操作系统和数据库系统的用户进行身份标识和鉴别；操作系统和数据库系统管理用户身份标识应不易被冒用，口令应有复杂度要求并定期更换；应启用登录失败处理功能，可采取结束会话、限制非法登录次数和自动退出等措施；当对服务器进行远程管理时，应采取必要措施，防止鉴别信息在网络传输过程中被窃听；应为操作系统和数据库系统的不同用户分配不同的用户名，确保用户名具有唯一性。</w:t>
      </w:r>
    </w:p>
    <w:p>
      <w:pPr>
        <w:ind w:firstLine="480"/>
      </w:pPr>
      <w:r>
        <w:rPr>
          <w:rFonts w:hint="eastAsia"/>
        </w:rPr>
        <w:t>对访问系统的主机进行对应的资源控制管理，通过设定终端接入方式、网络地址范围等条件限制终端登录；根据安全策略设置登录终端的操作超时锁定；限制单个用户对系统资源的最大或最小使用限度，确保项目主机安全。</w:t>
      </w:r>
    </w:p>
    <w:p>
      <w:pPr>
        <w:pStyle w:val="5"/>
        <w:ind w:leftChars="0"/>
      </w:pPr>
      <w:bookmarkStart w:id="210" w:name="_Toc23323854"/>
      <w:bookmarkStart w:id="211" w:name="_Toc18602237"/>
      <w:bookmarkStart w:id="212" w:name="_Toc383951853"/>
      <w:bookmarkStart w:id="213" w:name="_Toc398874098"/>
      <w:bookmarkStart w:id="214" w:name="_Toc19180064"/>
      <w:bookmarkStart w:id="215" w:name="_Toc41599984"/>
      <w:bookmarkStart w:id="216" w:name="_Toc29318"/>
      <w:bookmarkStart w:id="217" w:name="_Toc25270"/>
      <w:bookmarkStart w:id="218" w:name="_Toc41418778"/>
      <w:bookmarkStart w:id="219" w:name="_Toc446088063"/>
      <w:bookmarkStart w:id="220" w:name="_Toc40944596"/>
      <w:bookmarkStart w:id="221" w:name="_Toc52265721"/>
      <w:r>
        <w:rPr>
          <w:rFonts w:hint="eastAsia"/>
        </w:rPr>
        <w:t>应用安全</w:t>
      </w:r>
      <w:bookmarkEnd w:id="210"/>
      <w:bookmarkEnd w:id="211"/>
      <w:bookmarkEnd w:id="212"/>
      <w:bookmarkEnd w:id="213"/>
      <w:bookmarkEnd w:id="214"/>
      <w:bookmarkEnd w:id="215"/>
      <w:bookmarkEnd w:id="216"/>
      <w:bookmarkEnd w:id="217"/>
      <w:bookmarkEnd w:id="218"/>
      <w:bookmarkEnd w:id="219"/>
      <w:bookmarkEnd w:id="220"/>
      <w:bookmarkEnd w:id="221"/>
    </w:p>
    <w:p>
      <w:pPr>
        <w:ind w:firstLine="480"/>
      </w:pPr>
      <w:r>
        <w:rPr>
          <w:rFonts w:hint="eastAsia"/>
        </w:rPr>
        <w:t>应用安全应提供访问控制功能，依据安全策略控制用户对文件、数据库表等客体的访问。访问控制的覆盖范围应包括与资源访问相关的主体、客体及它们之间的操作；由授权主体配置访问控制策略，并严格限制默认帐户的访问权限，授予不同帐户为完成各自承担任务所需的最小权限，并在它们之间形成相互制约的关系。</w:t>
      </w:r>
    </w:p>
    <w:p>
      <w:pPr>
        <w:pStyle w:val="5"/>
        <w:ind w:leftChars="0"/>
      </w:pPr>
      <w:bookmarkStart w:id="222" w:name="_Toc446088064"/>
      <w:bookmarkStart w:id="223" w:name="_Toc41599985"/>
      <w:bookmarkStart w:id="224" w:name="_Toc383951854"/>
      <w:bookmarkStart w:id="225" w:name="_Toc41418779"/>
      <w:bookmarkStart w:id="226" w:name="_Toc2566"/>
      <w:bookmarkStart w:id="227" w:name="_Toc19180065"/>
      <w:bookmarkStart w:id="228" w:name="_Toc18602238"/>
      <w:bookmarkStart w:id="229" w:name="_Toc172"/>
      <w:bookmarkStart w:id="230" w:name="_Toc23323855"/>
      <w:bookmarkStart w:id="231" w:name="_Toc40944597"/>
      <w:bookmarkStart w:id="232" w:name="_Toc52265722"/>
      <w:bookmarkStart w:id="233" w:name="_Toc398874099"/>
      <w:r>
        <w:rPr>
          <w:rFonts w:hint="eastAsia"/>
        </w:rPr>
        <w:t>数据安全</w:t>
      </w:r>
      <w:bookmarkEnd w:id="222"/>
      <w:bookmarkEnd w:id="223"/>
      <w:bookmarkEnd w:id="224"/>
      <w:bookmarkEnd w:id="225"/>
      <w:bookmarkEnd w:id="226"/>
      <w:bookmarkEnd w:id="227"/>
      <w:bookmarkEnd w:id="228"/>
      <w:bookmarkEnd w:id="229"/>
      <w:bookmarkEnd w:id="230"/>
      <w:bookmarkEnd w:id="231"/>
      <w:bookmarkEnd w:id="232"/>
      <w:bookmarkEnd w:id="233"/>
    </w:p>
    <w:p>
      <w:pPr>
        <w:ind w:firstLine="480"/>
      </w:pPr>
      <w:r>
        <w:rPr>
          <w:rFonts w:hint="eastAsia"/>
        </w:rPr>
        <w:t>数据的安全包括数据具有真实性、完整性和保密性。真实性指进入数据库中的审批业务必须真实有效；完整性指要保证审批业务数据在传输和存储过程中不受到破坏；保密性指需要通过加密等措施对审批业务进行保密传输、存储，防止篡改。数据安全还必须具备及时备份与有效恢复能力，在系统出现故障时候能及时恢复，确保系统正常运行。</w:t>
      </w:r>
    </w:p>
    <w:p>
      <w:pPr>
        <w:pStyle w:val="4"/>
        <w:rPr>
          <w:color w:val="000000" w:themeColor="text1"/>
          <w14:textFill>
            <w14:solidFill>
              <w14:schemeClr w14:val="tx1"/>
            </w14:solidFill>
          </w14:textFill>
        </w:rPr>
      </w:pPr>
      <w:bookmarkStart w:id="234" w:name="_Toc32486"/>
      <w:bookmarkStart w:id="235" w:name="_Toc27936024"/>
      <w:bookmarkStart w:id="236" w:name="_Toc27680547"/>
      <w:r>
        <w:rPr>
          <w:rFonts w:hint="eastAsia"/>
          <w:color w:val="000000" w:themeColor="text1"/>
          <w14:textFill>
            <w14:solidFill>
              <w14:schemeClr w14:val="tx1"/>
            </w14:solidFill>
          </w14:textFill>
        </w:rPr>
        <w:t>信息系统安全管理方案</w:t>
      </w:r>
      <w:bookmarkEnd w:id="234"/>
      <w:bookmarkEnd w:id="235"/>
      <w:bookmarkEnd w:id="236"/>
    </w:p>
    <w:p>
      <w:pPr>
        <w:pStyle w:val="5"/>
        <w:bidi w:val="0"/>
      </w:pPr>
      <w:bookmarkStart w:id="237" w:name="_Toc18223"/>
      <w:bookmarkStart w:id="238" w:name="_Toc398874101"/>
      <w:bookmarkStart w:id="239" w:name="_Toc23323857"/>
      <w:bookmarkStart w:id="240" w:name="_Toc38471532"/>
      <w:bookmarkStart w:id="241" w:name="_Toc19180067"/>
      <w:bookmarkStart w:id="242" w:name="_Toc18602240"/>
      <w:bookmarkStart w:id="243" w:name="_Toc446088066"/>
      <w:bookmarkStart w:id="244" w:name="_Toc383951856"/>
      <w:bookmarkStart w:id="245" w:name="_Toc18915"/>
      <w:bookmarkStart w:id="246" w:name="_Toc3838"/>
      <w:bookmarkStart w:id="247" w:name="_Toc46771681"/>
      <w:r>
        <w:rPr>
          <w:rFonts w:hint="eastAsia"/>
        </w:rPr>
        <w:t>安全管理制度</w:t>
      </w:r>
      <w:bookmarkEnd w:id="237"/>
      <w:bookmarkEnd w:id="238"/>
      <w:bookmarkEnd w:id="239"/>
      <w:bookmarkEnd w:id="240"/>
      <w:bookmarkEnd w:id="241"/>
      <w:bookmarkEnd w:id="242"/>
      <w:bookmarkEnd w:id="243"/>
      <w:bookmarkEnd w:id="244"/>
      <w:bookmarkEnd w:id="245"/>
      <w:bookmarkEnd w:id="246"/>
      <w:bookmarkEnd w:id="247"/>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宋体" w:hAnsi="宋体"/>
          <w:kern w:val="0"/>
        </w:rPr>
      </w:pPr>
      <w:r>
        <w:rPr>
          <w:rFonts w:hint="eastAsia" w:ascii="宋体" w:hAnsi="宋体"/>
          <w:kern w:val="0"/>
        </w:rPr>
        <w:t>本项目的建设应制定系统建设运行安全管理制度，制定信息安全工作的总体方针和安全策略，说明机构安全工作的总体目标、范围、原则和安全框架等；对安全管理活动中重要的管理内容建立安全管理制度；建立操作规程规范安全管理人员或操作人员执行的操作活动。</w:t>
      </w:r>
    </w:p>
    <w:p>
      <w:pPr>
        <w:pStyle w:val="5"/>
      </w:pPr>
      <w:bookmarkStart w:id="248" w:name="_Toc46771682"/>
      <w:bookmarkStart w:id="249" w:name="_Toc3168"/>
      <w:bookmarkStart w:id="250" w:name="_Toc6362"/>
      <w:r>
        <w:rPr>
          <w:rFonts w:hint="eastAsia"/>
        </w:rPr>
        <w:t>安全管理机构</w:t>
      </w:r>
      <w:bookmarkEnd w:id="248"/>
      <w:bookmarkEnd w:id="249"/>
      <w:bookmarkEnd w:id="250"/>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宋体" w:hAnsi="宋体"/>
          <w:kern w:val="0"/>
        </w:rPr>
      </w:pPr>
      <w:r>
        <w:rPr>
          <w:rFonts w:hint="eastAsia" w:ascii="宋体" w:hAnsi="宋体"/>
          <w:kern w:val="0"/>
        </w:rPr>
        <w:t>为确保系统安全运行，成立安全管理机构，设置安全管理岗位，并配置系统管理员、网络管理员、安全管理员等安全管理人员。结合授权和审批制度，通过审批流程，对系统投入运行、网络系统接入和重要资源的访问等关键活动进行审批。</w:t>
      </w:r>
    </w:p>
    <w:p>
      <w:pPr>
        <w:pStyle w:val="5"/>
      </w:pPr>
      <w:bookmarkStart w:id="251" w:name="_Toc7008"/>
      <w:bookmarkStart w:id="252" w:name="_Toc46771683"/>
      <w:bookmarkStart w:id="253" w:name="_Toc22879"/>
      <w:r>
        <w:rPr>
          <w:rFonts w:hint="eastAsia"/>
        </w:rPr>
        <w:t>人员安全管理</w:t>
      </w:r>
      <w:bookmarkEnd w:id="251"/>
      <w:bookmarkEnd w:id="252"/>
      <w:bookmarkEnd w:id="253"/>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宋体" w:hAnsi="宋体"/>
          <w:kern w:val="0"/>
        </w:rPr>
      </w:pPr>
      <w:r>
        <w:rPr>
          <w:rFonts w:hint="eastAsia" w:ascii="宋体" w:hAnsi="宋体"/>
          <w:kern w:val="0"/>
        </w:rPr>
        <w:t>人员安全管理包括人员录用、人员培训、人员考核、人员离岗、外部人员访问管理等过程。需要规范人员录用过程，对被录用人员的身份、背景和专业资格等进行审查，对其所具有的技术技能进行考核；人员上岗前进行系统的培训；离岗后做好离职保密措施；外部人员访问时候应确保得到授权或审批，批准后由专人全程陪同或监督，并登记备案。</w:t>
      </w:r>
    </w:p>
    <w:p>
      <w:pPr>
        <w:pStyle w:val="5"/>
      </w:pPr>
      <w:bookmarkStart w:id="254" w:name="_Toc8155"/>
      <w:bookmarkStart w:id="255" w:name="_Toc6153"/>
      <w:bookmarkStart w:id="256" w:name="_Toc46771684"/>
      <w:r>
        <w:rPr>
          <w:rFonts w:hint="eastAsia"/>
        </w:rPr>
        <w:t>系统建设管理</w:t>
      </w:r>
      <w:bookmarkEnd w:id="254"/>
      <w:bookmarkEnd w:id="255"/>
      <w:bookmarkEnd w:id="256"/>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宋体" w:hAnsi="宋体"/>
          <w:kern w:val="0"/>
        </w:rPr>
      </w:pPr>
      <w:r>
        <w:rPr>
          <w:rFonts w:hint="eastAsia" w:ascii="宋体" w:hAnsi="宋体"/>
          <w:kern w:val="0"/>
        </w:rPr>
        <w:t>本项目的建设，应该严格按照相关安全管理规章制度进行，实施前进行安全方案的设计，经过审批之后按照制度实施。需要保密的硬件，必须采购符合国家密码主管部门的要求的产品。签订保密协议，对需要承建方保密的内容进行约束管理。</w:t>
      </w:r>
    </w:p>
    <w:p>
      <w:pPr>
        <w:pStyle w:val="5"/>
        <w:ind w:leftChars="0"/>
        <w:rPr>
          <w:rFonts w:hint="eastAsia"/>
        </w:rPr>
      </w:pPr>
      <w:bookmarkStart w:id="257" w:name="_Toc41418785"/>
      <w:bookmarkStart w:id="258" w:name="_Toc23323861"/>
      <w:bookmarkStart w:id="259" w:name="_Toc398874105"/>
      <w:bookmarkStart w:id="260" w:name="_Toc41599991"/>
      <w:bookmarkStart w:id="261" w:name="_Toc523"/>
      <w:bookmarkStart w:id="262" w:name="_Toc446088070"/>
      <w:bookmarkStart w:id="263" w:name="_Toc19180071"/>
      <w:bookmarkStart w:id="264" w:name="_Toc52265728"/>
      <w:bookmarkStart w:id="265" w:name="_Toc40944603"/>
      <w:bookmarkStart w:id="266" w:name="_Toc6857"/>
      <w:bookmarkStart w:id="267" w:name="_Toc383951860"/>
      <w:bookmarkStart w:id="268" w:name="_Toc18602244"/>
      <w:r>
        <w:rPr>
          <w:rFonts w:hint="eastAsia"/>
        </w:rPr>
        <w:t>系统运维管理</w:t>
      </w:r>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rPr>
      </w:pPr>
      <w:r>
        <w:rPr>
          <w:rFonts w:hint="eastAsia" w:ascii="宋体" w:hAnsi="宋体"/>
          <w:kern w:val="0"/>
        </w:rPr>
        <w:t>系统运行期间，按照安全管理制度，定期进行安全检查。根据业务需求和系统安全分析确定系统的访问控制策</w:t>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kern w:val="0"/>
          <w:lang w:val="en-US" w:eastAsia="zh-CN"/>
        </w:rPr>
        <w:tab/>
      </w:r>
      <w:r>
        <w:rPr>
          <w:rFonts w:hint="eastAsia" w:ascii="宋体" w:hAnsi="宋体"/>
          <w:kern w:val="0"/>
        </w:rPr>
        <w:t>略，定期进行漏洞扫描，对发现的系统安全漏洞及时进行修补，定期对运行日志和审计数据进行分析，以便及时发现异常行为，提高所有用户的防病毒意识，告知及时升级防病毒软件，在读取移动存储设备上的数据以及网络上接收文件或邮件之前，先进行病毒检查，对外来计算机或存储设备接入网络系统之前也应进行病毒检查。</w:t>
      </w:r>
    </w:p>
    <w:p>
      <w:pPr>
        <w:pStyle w:val="4"/>
        <w:rPr>
          <w:rFonts w:hint="eastAsia"/>
          <w:color w:val="000000" w:themeColor="text1"/>
          <w14:textFill>
            <w14:solidFill>
              <w14:schemeClr w14:val="tx1"/>
            </w14:solidFill>
          </w14:textFill>
        </w:rPr>
      </w:pPr>
      <w:bookmarkStart w:id="269" w:name="bookmark75"/>
      <w:bookmarkStart w:id="270" w:name="bookmark74"/>
      <w:bookmarkStart w:id="271" w:name="_Toc7663"/>
      <w:bookmarkStart w:id="272" w:name="_Toc27680565"/>
      <w:bookmarkStart w:id="273" w:name="_Toc27936042"/>
      <w:r>
        <w:rPr>
          <w:rFonts w:hint="eastAsia"/>
          <w:color w:val="000000" w:themeColor="text1"/>
          <w14:textFill>
            <w14:solidFill>
              <w14:schemeClr w14:val="tx1"/>
            </w14:solidFill>
          </w14:textFill>
        </w:rPr>
        <w:t>安全</w:t>
      </w:r>
      <w:bookmarkEnd w:id="269"/>
      <w:bookmarkEnd w:id="270"/>
      <w:r>
        <w:rPr>
          <w:rFonts w:hint="eastAsia"/>
          <w:color w:val="000000" w:themeColor="text1"/>
          <w14:textFill>
            <w14:solidFill>
              <w14:schemeClr w14:val="tx1"/>
            </w14:solidFill>
          </w14:textFill>
        </w:rPr>
        <w:t>服务</w:t>
      </w:r>
      <w:bookmarkEnd w:id="271"/>
    </w:p>
    <w:p>
      <w:pPr>
        <w:pStyle w:val="5"/>
        <w:bidi w:val="0"/>
        <w:rPr>
          <w:rFonts w:hint="eastAsia"/>
        </w:rPr>
      </w:pPr>
      <w:bookmarkStart w:id="274" w:name="bookmark76"/>
      <w:bookmarkStart w:id="275" w:name="_Toc6329"/>
      <w:bookmarkStart w:id="276" w:name="bookmark77"/>
      <w:r>
        <w:rPr>
          <w:rFonts w:hint="eastAsia"/>
        </w:rPr>
        <w:t>建立应用安全管理保障体系</w:t>
      </w:r>
      <w:bookmarkEnd w:id="274"/>
      <w:bookmarkEnd w:id="275"/>
      <w:bookmarkEnd w:id="276"/>
    </w:p>
    <w:p>
      <w:pPr>
        <w:pStyle w:val="190"/>
        <w:shd w:val="clear" w:color="auto" w:fill="auto"/>
        <w:spacing w:line="360" w:lineRule="auto"/>
        <w:ind w:firstLine="720"/>
        <w:rPr>
          <w:rFonts w:ascii="宋体" w:hAnsi="宋体" w:eastAsia="宋体"/>
          <w:sz w:val="24"/>
          <w:szCs w:val="24"/>
        </w:rPr>
      </w:pPr>
      <w:r>
        <w:rPr>
          <w:rFonts w:ascii="宋体" w:hAnsi="宋体" w:eastAsia="宋体"/>
          <w:color w:val="000000"/>
          <w:sz w:val="24"/>
          <w:szCs w:val="24"/>
        </w:rPr>
        <w:t>为保障</w:t>
      </w:r>
      <w:r>
        <w:rPr>
          <w:rFonts w:hint="eastAsia" w:ascii="宋体" w:hAnsi="宋体" w:eastAsia="宋体"/>
          <w:color w:val="000000"/>
          <w:sz w:val="24"/>
          <w:szCs w:val="24"/>
        </w:rPr>
        <w:t>河源市和平县农副产品展销平台</w:t>
      </w:r>
      <w:r>
        <w:rPr>
          <w:rFonts w:ascii="宋体" w:hAnsi="宋体" w:eastAsia="宋体"/>
          <w:color w:val="000000"/>
          <w:sz w:val="24"/>
          <w:szCs w:val="24"/>
        </w:rPr>
        <w:t>网络信息系统的安全，必须建立较为完善的安全保障体系，安全保障体系由安全技术、管理和人才教育三个子体系组成。</w:t>
      </w:r>
    </w:p>
    <w:p>
      <w:pPr>
        <w:pStyle w:val="6"/>
        <w:bidi w:val="0"/>
        <w:rPr>
          <w:rFonts w:hint="eastAsia"/>
        </w:rPr>
      </w:pPr>
      <w:bookmarkStart w:id="277" w:name="bookmark79"/>
      <w:bookmarkStart w:id="278" w:name="bookmark78"/>
      <w:r>
        <w:rPr>
          <w:rFonts w:hint="eastAsia"/>
        </w:rPr>
        <w:t>安全技术体系</w:t>
      </w:r>
      <w:bookmarkEnd w:id="277"/>
      <w:bookmarkEnd w:id="278"/>
    </w:p>
    <w:p>
      <w:pPr>
        <w:pStyle w:val="190"/>
        <w:shd w:val="clear" w:color="auto" w:fill="auto"/>
        <w:tabs>
          <w:tab w:val="left" w:pos="9432"/>
        </w:tabs>
        <w:spacing w:line="360" w:lineRule="auto"/>
        <w:ind w:firstLine="720"/>
        <w:rPr>
          <w:rFonts w:ascii="宋体" w:hAnsi="宋体" w:eastAsia="宋体"/>
          <w:sz w:val="24"/>
          <w:szCs w:val="24"/>
        </w:rPr>
      </w:pPr>
      <w:r>
        <w:rPr>
          <w:rFonts w:ascii="宋体" w:hAnsi="宋体" w:eastAsia="宋体"/>
          <w:color w:val="000000"/>
          <w:sz w:val="24"/>
          <w:szCs w:val="24"/>
        </w:rPr>
        <w:t>安全技术体系采用目前较为先进的“保护—检测—响应—恢复”的反馈控制自适应模型来实现。即按照安全策略要求在信息系统的协议层和网络结构层上进行物理和逻辑的安全保护措施配置；利用各种检测设备对信息系统的安全脆弱性和来自系统内外的入侵或攻击行为进行检测；对于已发现的系统脆弱性和入侵、攻击行为，从安全策略到安全服务配置予以调整和完善，以满足安全风险被控制在可接受范围内并逐步降低的控制策略；信息系统在遭遇安全风险致使系统造成局部或全局性破坏时，必须能及时消除风险并启动系统恢复进程。</w:t>
      </w:r>
    </w:p>
    <w:p>
      <w:pPr>
        <w:pStyle w:val="6"/>
        <w:bidi w:val="0"/>
        <w:rPr>
          <w:rFonts w:hint="eastAsia"/>
          <w:lang w:val="en-US"/>
        </w:rPr>
      </w:pPr>
      <w:bookmarkStart w:id="279" w:name="bookmark81"/>
      <w:bookmarkStart w:id="280" w:name="bookmark80"/>
      <w:r>
        <w:rPr>
          <w:rFonts w:hint="eastAsia"/>
          <w:lang w:val="en-US"/>
        </w:rPr>
        <w:t>管理体系</w:t>
      </w:r>
      <w:bookmarkEnd w:id="279"/>
      <w:bookmarkEnd w:id="280"/>
    </w:p>
    <w:p>
      <w:pPr>
        <w:pStyle w:val="190"/>
        <w:shd w:val="clear" w:color="auto" w:fill="auto"/>
        <w:tabs>
          <w:tab w:val="left" w:pos="9432"/>
        </w:tabs>
        <w:spacing w:line="360" w:lineRule="auto"/>
        <w:ind w:firstLine="720"/>
        <w:rPr>
          <w:rFonts w:ascii="宋体" w:hAnsi="宋体" w:eastAsia="宋体"/>
          <w:color w:val="000000"/>
          <w:sz w:val="24"/>
          <w:szCs w:val="24"/>
        </w:rPr>
      </w:pPr>
      <w:r>
        <w:rPr>
          <w:rFonts w:ascii="宋体" w:hAnsi="宋体" w:eastAsia="宋体"/>
          <w:color w:val="000000"/>
          <w:sz w:val="24"/>
          <w:szCs w:val="24"/>
        </w:rPr>
        <w:t>管理是</w:t>
      </w:r>
      <w:r>
        <w:rPr>
          <w:rFonts w:hint="eastAsia" w:ascii="宋体" w:hAnsi="宋体" w:eastAsia="宋体"/>
          <w:color w:val="000000"/>
          <w:sz w:val="24"/>
          <w:szCs w:val="24"/>
        </w:rPr>
        <w:t>河源市和平县农副产品展销平台</w:t>
      </w:r>
      <w:r>
        <w:rPr>
          <w:rFonts w:ascii="宋体" w:hAnsi="宋体" w:eastAsia="宋体"/>
          <w:color w:val="000000"/>
          <w:sz w:val="24"/>
          <w:szCs w:val="24"/>
        </w:rPr>
        <w:t>网络系统安全的灵魂。网络信息系统安全和管理体系由法律管理、制度管理和培训管理三部分组成。在国家有关安全部门的指导下成立安全管理机构，设置管理岗位，配备管理人员。该机构遵循国家相关法律法规，制定相应的安全管理制度和选用国家相关的法规政策，制定安全策略并对内部人员（包括管理人员和用户）进行安全教育和管理，指导、监督、考查安全制度的执行。</w:t>
      </w:r>
    </w:p>
    <w:p>
      <w:pPr>
        <w:pStyle w:val="6"/>
        <w:bidi w:val="0"/>
        <w:rPr>
          <w:rFonts w:hint="eastAsia"/>
          <w:lang w:val="en-US"/>
        </w:rPr>
      </w:pPr>
      <w:bookmarkStart w:id="281" w:name="bookmark82"/>
      <w:bookmarkStart w:id="282" w:name="bookmark83"/>
      <w:r>
        <w:rPr>
          <w:rFonts w:hint="eastAsia"/>
          <w:lang w:val="en-US"/>
        </w:rPr>
        <w:t>人才教育体系</w:t>
      </w:r>
      <w:bookmarkEnd w:id="281"/>
      <w:bookmarkEnd w:id="282"/>
    </w:p>
    <w:p>
      <w:pPr>
        <w:pStyle w:val="190"/>
        <w:shd w:val="clear" w:color="auto" w:fill="auto"/>
        <w:tabs>
          <w:tab w:val="left" w:pos="9432"/>
        </w:tabs>
        <w:spacing w:line="360" w:lineRule="auto"/>
        <w:ind w:firstLine="720"/>
        <w:rPr>
          <w:rFonts w:ascii="宋体" w:hAnsi="宋体" w:eastAsia="宋体"/>
          <w:color w:val="000000"/>
          <w:sz w:val="24"/>
          <w:szCs w:val="24"/>
        </w:rPr>
      </w:pPr>
      <w:r>
        <w:rPr>
          <w:rFonts w:ascii="宋体" w:hAnsi="宋体" w:eastAsia="宋体"/>
          <w:color w:val="000000"/>
          <w:sz w:val="24"/>
          <w:szCs w:val="24"/>
        </w:rPr>
        <w:t>确保</w:t>
      </w:r>
      <w:r>
        <w:rPr>
          <w:rFonts w:hint="eastAsia" w:ascii="宋体" w:hAnsi="宋体" w:eastAsia="宋体"/>
          <w:color w:val="000000"/>
          <w:sz w:val="24"/>
          <w:szCs w:val="24"/>
        </w:rPr>
        <w:t>河源市和平县农副产品展销平台</w:t>
      </w:r>
      <w:r>
        <w:rPr>
          <w:rFonts w:ascii="宋体" w:hAnsi="宋体" w:eastAsia="宋体"/>
          <w:color w:val="000000"/>
          <w:sz w:val="24"/>
          <w:szCs w:val="24"/>
        </w:rPr>
        <w:t>网络系统的规范化建设和安全运行的关键，在于有一支精通信息安全技术体系、熟悉信息安全法律、法规并忠实于国家、忠诚于国家政府安全事业的专业技术队伍，以及具有强烈的信息安全意识和熟练操作技巧的业务用户群体。因此，有计划，有步骤的开展关于网络化信息安全的，包括管理和技术两大类内容的多层次、多形式的，常规性和应急性相结合的各类人员的培训和再学习, 是关系到</w:t>
      </w:r>
      <w:r>
        <w:rPr>
          <w:rFonts w:hint="eastAsia" w:ascii="宋体" w:hAnsi="宋体" w:eastAsia="宋体"/>
          <w:color w:val="000000"/>
          <w:sz w:val="24"/>
          <w:szCs w:val="24"/>
        </w:rPr>
        <w:t>河源市和平县农副产品展销平台</w:t>
      </w:r>
      <w:r>
        <w:rPr>
          <w:rFonts w:ascii="宋体" w:hAnsi="宋体" w:eastAsia="宋体"/>
          <w:color w:val="000000"/>
          <w:sz w:val="24"/>
          <w:szCs w:val="24"/>
        </w:rPr>
        <w:t>网络信息系统健康持续发展的战略性任务。</w:t>
      </w:r>
    </w:p>
    <w:p>
      <w:pPr>
        <w:pStyle w:val="5"/>
        <w:bidi w:val="0"/>
        <w:rPr>
          <w:rFonts w:hint="eastAsia"/>
        </w:rPr>
      </w:pPr>
      <w:bookmarkStart w:id="283" w:name="_Toc26735"/>
      <w:bookmarkStart w:id="284" w:name="bookmark86"/>
      <w:bookmarkStart w:id="285" w:name="bookmark87"/>
      <w:r>
        <w:rPr>
          <w:rFonts w:hint="eastAsia"/>
        </w:rPr>
        <w:t>信息安全防御系统</w:t>
      </w:r>
      <w:bookmarkEnd w:id="283"/>
      <w:bookmarkEnd w:id="284"/>
      <w:bookmarkEnd w:id="285"/>
    </w:p>
    <w:p>
      <w:pPr>
        <w:pStyle w:val="6"/>
        <w:bidi w:val="0"/>
        <w:rPr>
          <w:rFonts w:hint="eastAsia"/>
          <w:lang w:val="en-US"/>
        </w:rPr>
      </w:pPr>
      <w:bookmarkStart w:id="286" w:name="bookmark88"/>
      <w:bookmarkStart w:id="287" w:name="bookmark89"/>
      <w:r>
        <w:rPr>
          <w:rFonts w:hint="eastAsia"/>
          <w:lang w:val="en-US"/>
        </w:rPr>
        <w:t>总体描述</w:t>
      </w:r>
      <w:bookmarkEnd w:id="286"/>
      <w:bookmarkEnd w:id="287"/>
    </w:p>
    <w:p>
      <w:pPr>
        <w:pStyle w:val="190"/>
        <w:shd w:val="clear" w:color="auto" w:fill="auto"/>
        <w:tabs>
          <w:tab w:val="left" w:pos="9432"/>
        </w:tabs>
        <w:spacing w:line="360" w:lineRule="auto"/>
        <w:ind w:firstLine="720"/>
        <w:rPr>
          <w:rFonts w:ascii="宋体" w:hAnsi="宋体" w:eastAsia="宋体"/>
          <w:color w:val="000000"/>
          <w:sz w:val="24"/>
          <w:szCs w:val="24"/>
        </w:rPr>
      </w:pPr>
      <w:r>
        <w:rPr>
          <w:rFonts w:ascii="宋体" w:hAnsi="宋体" w:eastAsia="宋体"/>
          <w:color w:val="000000"/>
          <w:sz w:val="24"/>
          <w:szCs w:val="24"/>
        </w:rPr>
        <w:t>信息安全防御系统由防火墙、入侵检测系统、漏洞扫描系统、安全审计系统、 病毒防治系统、Web信息防篡改系统等组成，是一个安全网络系统的基础组成部分，在统一安全策略的指导下，保障系统的整体安全。</w:t>
      </w:r>
    </w:p>
    <w:p>
      <w:pPr>
        <w:pStyle w:val="6"/>
        <w:bidi w:val="0"/>
        <w:rPr>
          <w:rFonts w:hint="eastAsia"/>
          <w:lang w:val="en-US"/>
        </w:rPr>
      </w:pPr>
      <w:bookmarkStart w:id="288" w:name="bookmark92"/>
      <w:bookmarkStart w:id="289" w:name="bookmark93"/>
      <w:r>
        <w:rPr>
          <w:rFonts w:hint="eastAsia"/>
          <w:lang w:val="en-US"/>
        </w:rPr>
        <w:t>入侵检测</w:t>
      </w:r>
      <w:bookmarkEnd w:id="288"/>
      <w:bookmarkEnd w:id="289"/>
    </w:p>
    <w:p>
      <w:pPr>
        <w:pStyle w:val="190"/>
        <w:shd w:val="clear" w:color="auto" w:fill="auto"/>
        <w:tabs>
          <w:tab w:val="left" w:pos="9432"/>
        </w:tabs>
        <w:spacing w:line="360" w:lineRule="auto"/>
        <w:ind w:firstLine="720"/>
        <w:rPr>
          <w:rFonts w:ascii="宋体" w:hAnsi="宋体" w:eastAsia="宋体"/>
          <w:color w:val="000000"/>
          <w:sz w:val="24"/>
          <w:szCs w:val="24"/>
        </w:rPr>
      </w:pPr>
      <w:r>
        <w:rPr>
          <w:rFonts w:ascii="宋体" w:hAnsi="宋体" w:eastAsia="宋体"/>
          <w:color w:val="000000"/>
          <w:sz w:val="24"/>
          <w:szCs w:val="24"/>
        </w:rPr>
        <w:t>入侵检测系统一般采用安全监测控制器和探测器两级的分布式结构，探测器配置在网络的敏感部位进行信息的采集，而安全监测控制器则对所收集到的信息进行分析处理，判断网络是否遭到入侵攻击。</w:t>
      </w:r>
    </w:p>
    <w:p>
      <w:pPr>
        <w:pStyle w:val="190"/>
        <w:shd w:val="clear" w:color="auto" w:fill="auto"/>
        <w:spacing w:line="360" w:lineRule="auto"/>
        <w:ind w:firstLine="700"/>
        <w:rPr>
          <w:rFonts w:ascii="宋体" w:hAnsi="宋体" w:eastAsia="宋体"/>
          <w:sz w:val="24"/>
          <w:szCs w:val="24"/>
        </w:rPr>
      </w:pPr>
      <w:r>
        <w:rPr>
          <w:rFonts w:ascii="宋体" w:hAnsi="宋体" w:eastAsia="宋体"/>
          <w:color w:val="000000"/>
          <w:sz w:val="24"/>
          <w:szCs w:val="24"/>
        </w:rPr>
        <w:t>入侵检测系统的主要功能包括：</w:t>
      </w:r>
    </w:p>
    <w:p>
      <w:pPr>
        <w:pStyle w:val="190"/>
        <w:numPr>
          <w:ilvl w:val="0"/>
          <w:numId w:val="31"/>
        </w:numPr>
        <w:shd w:val="clear" w:color="auto" w:fill="auto"/>
        <w:spacing w:line="360" w:lineRule="auto"/>
        <w:ind w:left="0" w:firstLine="420"/>
        <w:rPr>
          <w:rFonts w:ascii="宋体" w:hAnsi="宋体" w:eastAsia="宋体"/>
          <w:sz w:val="24"/>
          <w:szCs w:val="24"/>
        </w:rPr>
      </w:pPr>
      <w:r>
        <w:rPr>
          <w:rFonts w:ascii="宋体" w:hAnsi="宋体" w:eastAsia="宋体"/>
          <w:color w:val="000000"/>
          <w:sz w:val="24"/>
          <w:szCs w:val="24"/>
        </w:rPr>
        <w:t>监视、分析用户及系统活动。</w:t>
      </w:r>
    </w:p>
    <w:p>
      <w:pPr>
        <w:pStyle w:val="190"/>
        <w:numPr>
          <w:ilvl w:val="0"/>
          <w:numId w:val="31"/>
        </w:numPr>
        <w:shd w:val="clear" w:color="auto" w:fill="auto"/>
        <w:spacing w:line="360" w:lineRule="auto"/>
        <w:ind w:left="0" w:firstLine="420"/>
        <w:rPr>
          <w:rFonts w:ascii="宋体" w:hAnsi="宋体" w:eastAsia="宋体"/>
          <w:sz w:val="24"/>
          <w:szCs w:val="24"/>
        </w:rPr>
      </w:pPr>
      <w:r>
        <w:rPr>
          <w:rFonts w:ascii="宋体" w:hAnsi="宋体" w:eastAsia="宋体"/>
          <w:color w:val="000000"/>
          <w:sz w:val="24"/>
          <w:szCs w:val="24"/>
        </w:rPr>
        <w:t>系统结构和安全漏洞的审计。</w:t>
      </w:r>
    </w:p>
    <w:p>
      <w:pPr>
        <w:pStyle w:val="190"/>
        <w:numPr>
          <w:ilvl w:val="0"/>
          <w:numId w:val="31"/>
        </w:numPr>
        <w:shd w:val="clear" w:color="auto" w:fill="auto"/>
        <w:spacing w:line="360" w:lineRule="auto"/>
        <w:ind w:left="0" w:firstLine="420"/>
        <w:rPr>
          <w:rFonts w:ascii="宋体" w:hAnsi="宋体" w:eastAsia="宋体"/>
          <w:sz w:val="24"/>
          <w:szCs w:val="24"/>
        </w:rPr>
      </w:pPr>
      <w:r>
        <w:rPr>
          <w:rFonts w:ascii="宋体" w:hAnsi="宋体" w:eastAsia="宋体"/>
          <w:color w:val="000000"/>
          <w:sz w:val="24"/>
          <w:szCs w:val="24"/>
        </w:rPr>
        <w:t>识别网络入侵攻击的活动模式并提出告警。</w:t>
      </w:r>
    </w:p>
    <w:p>
      <w:pPr>
        <w:pStyle w:val="190"/>
        <w:numPr>
          <w:ilvl w:val="0"/>
          <w:numId w:val="31"/>
        </w:numPr>
        <w:shd w:val="clear" w:color="auto" w:fill="auto"/>
        <w:spacing w:line="360" w:lineRule="auto"/>
        <w:ind w:left="0" w:firstLine="420"/>
        <w:rPr>
          <w:rFonts w:ascii="宋体" w:hAnsi="宋体" w:eastAsia="宋体"/>
          <w:sz w:val="24"/>
          <w:szCs w:val="24"/>
        </w:rPr>
      </w:pPr>
      <w:r>
        <w:rPr>
          <w:rFonts w:ascii="宋体" w:hAnsi="宋体" w:eastAsia="宋体"/>
          <w:color w:val="000000"/>
          <w:sz w:val="24"/>
          <w:szCs w:val="24"/>
        </w:rPr>
        <w:t>异常行为模式的统计分析。</w:t>
      </w:r>
    </w:p>
    <w:p>
      <w:pPr>
        <w:pStyle w:val="190"/>
        <w:numPr>
          <w:ilvl w:val="0"/>
          <w:numId w:val="31"/>
        </w:numPr>
        <w:shd w:val="clear" w:color="auto" w:fill="auto"/>
        <w:spacing w:line="360" w:lineRule="auto"/>
        <w:ind w:left="0" w:firstLine="420"/>
        <w:rPr>
          <w:rFonts w:ascii="宋体" w:hAnsi="宋体" w:eastAsia="宋体"/>
          <w:sz w:val="24"/>
          <w:szCs w:val="24"/>
        </w:rPr>
      </w:pPr>
      <w:r>
        <w:rPr>
          <w:rFonts w:ascii="宋体" w:hAnsi="宋体" w:eastAsia="宋体"/>
          <w:color w:val="000000"/>
          <w:sz w:val="24"/>
          <w:szCs w:val="24"/>
        </w:rPr>
        <w:t>重要系统和数据文件的完整性评估。</w:t>
      </w:r>
    </w:p>
    <w:p>
      <w:pPr>
        <w:pStyle w:val="190"/>
        <w:numPr>
          <w:ilvl w:val="0"/>
          <w:numId w:val="31"/>
        </w:numPr>
        <w:shd w:val="clear" w:color="auto" w:fill="auto"/>
        <w:spacing w:line="360" w:lineRule="auto"/>
        <w:ind w:left="0" w:firstLine="420"/>
        <w:rPr>
          <w:rFonts w:ascii="宋体" w:hAnsi="宋体" w:eastAsia="宋体"/>
          <w:sz w:val="24"/>
          <w:szCs w:val="24"/>
        </w:rPr>
      </w:pPr>
      <w:r>
        <w:rPr>
          <w:rFonts w:ascii="宋体" w:hAnsi="宋体" w:eastAsia="宋体"/>
          <w:color w:val="000000"/>
          <w:sz w:val="24"/>
          <w:szCs w:val="24"/>
        </w:rPr>
        <w:t>操作系统的审计跟踪管理与违反安全策略行为的识别。</w:t>
      </w:r>
    </w:p>
    <w:p>
      <w:pPr>
        <w:pStyle w:val="190"/>
        <w:shd w:val="clear" w:color="auto" w:fill="auto"/>
        <w:spacing w:line="360" w:lineRule="auto"/>
        <w:ind w:firstLine="700"/>
        <w:rPr>
          <w:rFonts w:ascii="宋体" w:hAnsi="宋体" w:eastAsia="宋体"/>
          <w:sz w:val="24"/>
          <w:szCs w:val="24"/>
        </w:rPr>
      </w:pPr>
      <w:r>
        <w:rPr>
          <w:rFonts w:ascii="宋体" w:hAnsi="宋体" w:eastAsia="宋体"/>
          <w:color w:val="000000"/>
          <w:sz w:val="24"/>
          <w:szCs w:val="24"/>
        </w:rPr>
        <w:t>对所采集到的有关系统、网络、数据及用户活动的状态和行为等特征信息，可通过以下三种技术方法进行分析：</w:t>
      </w:r>
    </w:p>
    <w:p>
      <w:pPr>
        <w:pStyle w:val="190"/>
        <w:shd w:val="clear" w:color="auto" w:fill="auto"/>
        <w:spacing w:line="360" w:lineRule="auto"/>
        <w:ind w:firstLine="420"/>
        <w:rPr>
          <w:rFonts w:ascii="宋体" w:hAnsi="宋体" w:eastAsia="宋体"/>
          <w:sz w:val="24"/>
          <w:szCs w:val="24"/>
        </w:rPr>
      </w:pPr>
      <w:r>
        <w:rPr>
          <w:rFonts w:ascii="宋体" w:hAnsi="宋体" w:eastAsia="宋体"/>
          <w:color w:val="000000"/>
          <w:sz w:val="24"/>
          <w:szCs w:val="24"/>
        </w:rPr>
        <w:t>模式匹配：将采集到的信息与已知的网络入侵和系统误用模式进行匹配，从而发现违背安全策略的行为。</w:t>
      </w:r>
    </w:p>
    <w:p>
      <w:pPr>
        <w:pStyle w:val="190"/>
        <w:shd w:val="clear" w:color="auto" w:fill="auto"/>
        <w:spacing w:line="360" w:lineRule="auto"/>
        <w:ind w:firstLine="420"/>
        <w:rPr>
          <w:rFonts w:ascii="宋体" w:hAnsi="宋体" w:eastAsia="宋体"/>
          <w:sz w:val="24"/>
          <w:szCs w:val="24"/>
        </w:rPr>
      </w:pPr>
      <w:r>
        <w:rPr>
          <w:rFonts w:ascii="宋体" w:hAnsi="宋体" w:eastAsia="宋体"/>
          <w:color w:val="000000"/>
          <w:sz w:val="24"/>
          <w:szCs w:val="24"/>
        </w:rPr>
        <w:t>统计分析：对系统对象（用户、文件、目录和设备等）创建若干特征属性，并通过对这些属性值的观测，将属性值的显著偏离界定为网络入侵事件的发生。</w:t>
      </w:r>
    </w:p>
    <w:p>
      <w:pPr>
        <w:pStyle w:val="190"/>
        <w:shd w:val="clear" w:color="auto" w:fill="auto"/>
        <w:spacing w:line="360" w:lineRule="auto"/>
        <w:ind w:firstLine="420"/>
        <w:rPr>
          <w:rFonts w:ascii="宋体" w:hAnsi="宋体" w:eastAsia="宋体"/>
          <w:sz w:val="24"/>
          <w:szCs w:val="24"/>
        </w:rPr>
      </w:pPr>
      <w:r>
        <w:rPr>
          <w:rFonts w:ascii="宋体" w:hAnsi="宋体" w:eastAsia="宋体"/>
          <w:color w:val="000000"/>
          <w:sz w:val="24"/>
          <w:szCs w:val="24"/>
        </w:rPr>
        <w:t>完整性分析：重点检测特定文件或对象是否被更改（包括文件和目录的内容和属性），这种方法对于被更改或特洛伊化应用程序的检测方面特别有效，缺点是一般以批处理方式实现，不能用于实时响应。</w:t>
      </w:r>
    </w:p>
    <w:p>
      <w:pPr>
        <w:pStyle w:val="6"/>
        <w:bidi w:val="0"/>
        <w:rPr>
          <w:rFonts w:hint="eastAsia"/>
          <w:lang w:val="en-US"/>
        </w:rPr>
      </w:pPr>
      <w:bookmarkStart w:id="290" w:name="bookmark94"/>
      <w:bookmarkStart w:id="291" w:name="bookmark95"/>
      <w:r>
        <w:rPr>
          <w:rFonts w:hint="eastAsia"/>
          <w:lang w:val="en-US"/>
        </w:rPr>
        <w:t>漏洞扫描</w:t>
      </w:r>
      <w:bookmarkEnd w:id="290"/>
      <w:bookmarkEnd w:id="291"/>
    </w:p>
    <w:p>
      <w:pPr>
        <w:pStyle w:val="190"/>
        <w:shd w:val="clear" w:color="auto" w:fill="auto"/>
        <w:spacing w:line="360" w:lineRule="auto"/>
        <w:ind w:firstLine="720"/>
        <w:rPr>
          <w:rFonts w:ascii="宋体" w:hAnsi="宋体" w:eastAsia="宋体"/>
          <w:sz w:val="24"/>
          <w:szCs w:val="24"/>
        </w:rPr>
      </w:pPr>
      <w:r>
        <w:rPr>
          <w:rFonts w:ascii="宋体" w:hAnsi="宋体" w:eastAsia="宋体"/>
          <w:color w:val="000000"/>
          <w:sz w:val="24"/>
          <w:szCs w:val="24"/>
        </w:rPr>
        <w:t>漏洞检测系统负责定期或不定期地调用网络安全性分析、操作系统安全性分析软件对整个内部系统进行安全扫描和检测，及时发现网络新的安全漏洞并予以补救。</w:t>
      </w:r>
    </w:p>
    <w:p>
      <w:pPr>
        <w:pStyle w:val="190"/>
        <w:shd w:val="clear" w:color="auto" w:fill="auto"/>
        <w:tabs>
          <w:tab w:val="left" w:pos="964"/>
        </w:tabs>
        <w:spacing w:line="360" w:lineRule="auto"/>
        <w:ind w:firstLine="220"/>
        <w:rPr>
          <w:rFonts w:ascii="宋体" w:hAnsi="宋体" w:eastAsia="宋体"/>
          <w:sz w:val="24"/>
          <w:szCs w:val="24"/>
        </w:rPr>
      </w:pPr>
      <w:r>
        <w:rPr>
          <w:rFonts w:ascii="宋体" w:hAnsi="宋体" w:eastAsia="宋体"/>
          <w:color w:val="000000"/>
          <w:sz w:val="24"/>
          <w:szCs w:val="24"/>
        </w:rPr>
        <w:t>（</w:t>
      </w:r>
      <w:r>
        <w:rPr>
          <w:rFonts w:ascii="宋体" w:hAnsi="宋体" w:eastAsia="宋体" w:cs="Arial"/>
          <w:color w:val="000000"/>
          <w:sz w:val="24"/>
          <w:szCs w:val="24"/>
        </w:rPr>
        <w:t>1</w:t>
      </w:r>
      <w:r>
        <w:rPr>
          <w:rFonts w:ascii="宋体" w:hAnsi="宋体" w:eastAsia="宋体"/>
          <w:color w:val="000000"/>
          <w:sz w:val="24"/>
          <w:szCs w:val="24"/>
        </w:rPr>
        <w:t>）</w:t>
      </w:r>
      <w:r>
        <w:rPr>
          <w:rFonts w:ascii="宋体" w:hAnsi="宋体" w:eastAsia="宋体"/>
          <w:color w:val="000000"/>
          <w:sz w:val="24"/>
          <w:szCs w:val="24"/>
        </w:rPr>
        <w:tab/>
      </w:r>
      <w:r>
        <w:rPr>
          <w:rFonts w:ascii="宋体" w:hAnsi="宋体" w:eastAsia="宋体"/>
          <w:color w:val="000000"/>
          <w:sz w:val="24"/>
          <w:szCs w:val="24"/>
        </w:rPr>
        <w:t>网络安全性监测</w:t>
      </w:r>
    </w:p>
    <w:p>
      <w:pPr>
        <w:pStyle w:val="190"/>
        <w:shd w:val="clear" w:color="auto" w:fill="auto"/>
        <w:spacing w:line="360" w:lineRule="auto"/>
        <w:ind w:firstLine="720"/>
        <w:rPr>
          <w:rFonts w:ascii="宋体" w:hAnsi="宋体" w:eastAsia="宋体"/>
          <w:sz w:val="24"/>
          <w:szCs w:val="24"/>
        </w:rPr>
      </w:pPr>
      <w:r>
        <w:rPr>
          <w:rFonts w:ascii="宋体" w:hAnsi="宋体" w:eastAsia="宋体"/>
          <w:color w:val="000000"/>
          <w:sz w:val="24"/>
          <w:szCs w:val="24"/>
        </w:rPr>
        <w:t>网络的安全性分析重点对网络中的关键系统部件进行实践性的扫描分析和评估，发现并报告系统存在的弱点和漏洞，评估安全风险并提出建议的补救措施。</w:t>
      </w:r>
    </w:p>
    <w:p>
      <w:pPr>
        <w:pStyle w:val="190"/>
        <w:shd w:val="clear" w:color="auto" w:fill="auto"/>
        <w:tabs>
          <w:tab w:val="left" w:pos="964"/>
        </w:tabs>
        <w:spacing w:line="360" w:lineRule="auto"/>
        <w:ind w:firstLine="220"/>
        <w:rPr>
          <w:rFonts w:ascii="宋体" w:hAnsi="宋体" w:eastAsia="宋体"/>
          <w:sz w:val="24"/>
          <w:szCs w:val="24"/>
        </w:rPr>
      </w:pPr>
      <w:r>
        <w:rPr>
          <w:rFonts w:ascii="宋体" w:hAnsi="宋体" w:eastAsia="宋体"/>
          <w:color w:val="000000"/>
          <w:sz w:val="24"/>
          <w:szCs w:val="24"/>
        </w:rPr>
        <w:t>（</w:t>
      </w:r>
      <w:r>
        <w:rPr>
          <w:rFonts w:ascii="宋体" w:hAnsi="宋体" w:eastAsia="宋体" w:cs="Arial"/>
          <w:color w:val="000000"/>
          <w:sz w:val="24"/>
          <w:szCs w:val="24"/>
        </w:rPr>
        <w:t>2</w:t>
      </w:r>
      <w:r>
        <w:rPr>
          <w:rFonts w:ascii="宋体" w:hAnsi="宋体" w:eastAsia="宋体"/>
          <w:color w:val="000000"/>
          <w:sz w:val="24"/>
          <w:szCs w:val="24"/>
        </w:rPr>
        <w:t>）</w:t>
      </w:r>
      <w:r>
        <w:rPr>
          <w:rFonts w:ascii="宋体" w:hAnsi="宋体" w:eastAsia="宋体"/>
          <w:color w:val="000000"/>
          <w:sz w:val="24"/>
          <w:szCs w:val="24"/>
        </w:rPr>
        <w:tab/>
      </w:r>
      <w:r>
        <w:rPr>
          <w:rFonts w:ascii="宋体" w:hAnsi="宋体" w:eastAsia="宋体"/>
          <w:color w:val="000000"/>
          <w:sz w:val="24"/>
          <w:szCs w:val="24"/>
        </w:rPr>
        <w:t>操作系统安全性监测</w:t>
      </w:r>
    </w:p>
    <w:p>
      <w:pPr>
        <w:pStyle w:val="190"/>
        <w:shd w:val="clear" w:color="auto" w:fill="auto"/>
        <w:spacing w:line="360" w:lineRule="auto"/>
        <w:ind w:firstLine="720"/>
        <w:rPr>
          <w:rFonts w:ascii="宋体" w:hAnsi="宋体" w:eastAsia="宋体"/>
          <w:sz w:val="24"/>
          <w:szCs w:val="24"/>
        </w:rPr>
      </w:pPr>
      <w:r>
        <w:rPr>
          <w:rFonts w:ascii="宋体" w:hAnsi="宋体" w:eastAsia="宋体"/>
          <w:color w:val="000000"/>
          <w:sz w:val="24"/>
          <w:szCs w:val="24"/>
        </w:rPr>
        <w:t>操作系统安全性分析需要以管理员的身份从系统内部对操作系统进行全面的扫描分析和定期继承性检测分析，发现并报告系统的弱点</w:t>
      </w:r>
      <w:r>
        <w:rPr>
          <w:rFonts w:ascii="宋体" w:hAnsi="宋体" w:eastAsia="宋体" w:cs="Arial"/>
          <w:color w:val="000000"/>
          <w:sz w:val="24"/>
          <w:szCs w:val="24"/>
        </w:rPr>
        <w:t>/</w:t>
      </w:r>
      <w:r>
        <w:rPr>
          <w:rFonts w:ascii="宋体" w:hAnsi="宋体" w:eastAsia="宋体"/>
          <w:color w:val="000000"/>
          <w:sz w:val="24"/>
          <w:szCs w:val="24"/>
        </w:rPr>
        <w:t>漏洞</w:t>
      </w:r>
      <w:r>
        <w:rPr>
          <w:rFonts w:ascii="宋体" w:hAnsi="宋体" w:eastAsia="宋体" w:cs="Arial"/>
          <w:color w:val="000000"/>
          <w:sz w:val="24"/>
          <w:szCs w:val="24"/>
        </w:rPr>
        <w:t>/</w:t>
      </w:r>
      <w:r>
        <w:rPr>
          <w:rFonts w:ascii="宋体" w:hAnsi="宋体" w:eastAsia="宋体"/>
          <w:color w:val="000000"/>
          <w:sz w:val="24"/>
          <w:szCs w:val="24"/>
        </w:rPr>
        <w:t>不安全的系统配置，不明的系统修改和黑客攻击迹象，评估操作系统的安全风险，建议补救措施和安全策略。</w:t>
      </w:r>
    </w:p>
    <w:p>
      <w:pPr>
        <w:pStyle w:val="6"/>
        <w:bidi w:val="0"/>
        <w:rPr>
          <w:rFonts w:hint="eastAsia"/>
          <w:lang w:val="en-US"/>
        </w:rPr>
      </w:pPr>
      <w:bookmarkStart w:id="292" w:name="bookmark96"/>
      <w:bookmarkStart w:id="293" w:name="bookmark97"/>
      <w:r>
        <w:rPr>
          <w:rFonts w:hint="eastAsia"/>
          <w:lang w:val="en-US"/>
        </w:rPr>
        <w:t>病毒防治</w:t>
      </w:r>
      <w:bookmarkEnd w:id="292"/>
      <w:bookmarkEnd w:id="293"/>
    </w:p>
    <w:p>
      <w:pPr>
        <w:pStyle w:val="190"/>
        <w:shd w:val="clear" w:color="auto" w:fill="auto"/>
        <w:spacing w:line="360" w:lineRule="auto"/>
        <w:ind w:firstLine="480" w:firstLineChars="200"/>
        <w:rPr>
          <w:rFonts w:ascii="宋体" w:hAnsi="宋体" w:eastAsia="宋体"/>
          <w:color w:val="000000"/>
          <w:sz w:val="24"/>
          <w:szCs w:val="24"/>
        </w:rPr>
      </w:pPr>
      <w:r>
        <w:rPr>
          <w:rFonts w:ascii="宋体" w:hAnsi="宋体" w:eastAsia="宋体"/>
          <w:color w:val="000000"/>
          <w:sz w:val="24"/>
          <w:szCs w:val="24"/>
        </w:rPr>
        <w:t>病毒防治系统部分专门负责对各类计算机病毒的检测与杀灭，其主要功能包括：</w:t>
      </w:r>
    </w:p>
    <w:p>
      <w:pPr>
        <w:pStyle w:val="190"/>
        <w:shd w:val="clear" w:color="auto" w:fill="auto"/>
        <w:spacing w:line="360" w:lineRule="auto"/>
        <w:ind w:firstLine="480" w:firstLineChars="200"/>
        <w:rPr>
          <w:rFonts w:hint="eastAsia" w:ascii="宋体" w:hAnsi="宋体" w:eastAsia="宋体"/>
          <w:sz w:val="24"/>
          <w:szCs w:val="24"/>
        </w:rPr>
      </w:pPr>
      <w:r>
        <w:rPr>
          <w:rFonts w:ascii="宋体" w:hAnsi="宋体" w:eastAsia="宋体"/>
          <w:color w:val="000000"/>
          <w:sz w:val="24"/>
          <w:szCs w:val="24"/>
        </w:rPr>
        <w:t>系统病毒预防：预防系统自身常驻系统内存，优先获得系统的控制权，监视和检测系统中的计算机病毒，并阻止病毒进入系统和对系统进行破坏。</w:t>
      </w:r>
    </w:p>
    <w:p>
      <w:pPr>
        <w:pStyle w:val="190"/>
        <w:shd w:val="clear" w:color="auto" w:fill="auto"/>
        <w:spacing w:line="360" w:lineRule="auto"/>
        <w:ind w:firstLine="480" w:firstLineChars="200"/>
        <w:rPr>
          <w:rFonts w:ascii="宋体" w:hAnsi="宋体" w:eastAsia="宋体"/>
          <w:sz w:val="24"/>
          <w:szCs w:val="24"/>
        </w:rPr>
      </w:pPr>
      <w:r>
        <w:rPr>
          <w:rFonts w:ascii="宋体" w:hAnsi="宋体" w:eastAsia="宋体"/>
          <w:color w:val="000000"/>
          <w:sz w:val="24"/>
          <w:szCs w:val="24"/>
        </w:rPr>
        <w:t>病毒诊断：根据计算机病毒的特征来判断病毒的种类。为实现有效的病毒诊断，必须对病毒特征信息进行定期更新，并提高系统预测新病毒种类的能力。</w:t>
      </w:r>
    </w:p>
    <w:p>
      <w:pPr>
        <w:pStyle w:val="190"/>
        <w:shd w:val="clear" w:color="auto" w:fill="auto"/>
        <w:spacing w:line="360" w:lineRule="auto"/>
        <w:ind w:firstLine="480" w:firstLineChars="200"/>
        <w:rPr>
          <w:rFonts w:ascii="宋体" w:hAnsi="宋体" w:eastAsia="宋体"/>
          <w:sz w:val="24"/>
          <w:szCs w:val="24"/>
        </w:rPr>
      </w:pPr>
      <w:r>
        <w:rPr>
          <w:rFonts w:ascii="宋体" w:hAnsi="宋体" w:eastAsia="宋体"/>
          <w:color w:val="000000"/>
          <w:sz w:val="24"/>
          <w:szCs w:val="24"/>
        </w:rPr>
        <w:t>病毒杀灭：对计算机资源进行分析和检测，并对发现的病毒予以杀灭处理，恢复原文件。</w:t>
      </w:r>
    </w:p>
    <w:p>
      <w:pPr>
        <w:pStyle w:val="190"/>
        <w:shd w:val="clear" w:color="auto" w:fill="auto"/>
        <w:spacing w:line="360" w:lineRule="auto"/>
        <w:ind w:firstLine="480" w:firstLineChars="200"/>
        <w:rPr>
          <w:rFonts w:ascii="宋体" w:hAnsi="宋体" w:eastAsia="宋体"/>
          <w:sz w:val="24"/>
          <w:szCs w:val="24"/>
        </w:rPr>
      </w:pPr>
      <w:r>
        <w:rPr>
          <w:rFonts w:ascii="宋体" w:hAnsi="宋体" w:eastAsia="宋体"/>
          <w:color w:val="000000"/>
          <w:sz w:val="24"/>
          <w:szCs w:val="24"/>
        </w:rPr>
        <w:t>网络病毒检测：对网络上常见的应用的信息流进行检测，防止计算机病毒通过网络途径传播。</w:t>
      </w:r>
    </w:p>
    <w:p>
      <w:pPr>
        <w:pStyle w:val="6"/>
        <w:bidi w:val="0"/>
        <w:rPr>
          <w:rFonts w:hint="eastAsia"/>
          <w:lang w:val="en-US"/>
        </w:rPr>
      </w:pPr>
      <w:bookmarkStart w:id="294" w:name="bookmark98"/>
      <w:bookmarkStart w:id="295" w:name="bookmark99"/>
      <w:r>
        <w:rPr>
          <w:rFonts w:hint="eastAsia"/>
          <w:lang w:val="en-US"/>
        </w:rPr>
        <w:t>安全审计</w:t>
      </w:r>
      <w:bookmarkEnd w:id="294"/>
      <w:bookmarkEnd w:id="295"/>
    </w:p>
    <w:p>
      <w:pPr>
        <w:bidi w:val="0"/>
      </w:pPr>
      <w:r>
        <w:t>安全审计负责对各类系统的全部活动的过程轨迹进行记录，以便为事后的安全审计追踪、系统安全漏洞分析提供原始证据。安全审计功能是很多其他安全技术的基础，是网络系统中一个不可缺少的部分。</w:t>
      </w:r>
    </w:p>
    <w:p>
      <w:pPr>
        <w:bidi w:val="0"/>
      </w:pPr>
      <w:r>
        <w:t>（1）</w:t>
      </w:r>
      <w:r>
        <w:tab/>
      </w:r>
      <w:r>
        <w:t>安全审计事件自动响应</w:t>
      </w:r>
    </w:p>
    <w:p>
      <w:pPr>
        <w:bidi w:val="0"/>
      </w:pPr>
      <w:r>
        <w:t>安全审计系统对目标系统中发生的各类安全违例事件（包括实时报警的生成、违例进程的终止、中断服务、用户帐号的失效等）进行实时的响应。</w:t>
      </w:r>
    </w:p>
    <w:p>
      <w:pPr>
        <w:bidi w:val="0"/>
      </w:pPr>
      <w:r>
        <w:t>其中安全审计事件的数量直接关系到审计数据的容量和审计分析的工作量，因此安全审计事件应由管理员根据安全管理策略的需要灵活设置。</w:t>
      </w:r>
    </w:p>
    <w:p>
      <w:pPr>
        <w:bidi w:val="0"/>
      </w:pPr>
      <w:r>
        <w:t>（2）</w:t>
      </w:r>
      <w:r>
        <w:tab/>
      </w:r>
      <w:r>
        <w:t>安全审计数据生成</w:t>
      </w:r>
    </w:p>
    <w:p>
      <w:pPr>
        <w:bidi w:val="0"/>
      </w:pPr>
      <w:r>
        <w:t>对安全审计事件所产生的审计数据来源主要包括：对于敏感数据项（如口令等）的访问、目标对象的删除、访问权限或能力的授予和废除、主体或目标的安全属性的改变以及标识定义和用户授权认证功能的使用等方面。</w:t>
      </w:r>
    </w:p>
    <w:p>
      <w:pPr>
        <w:bidi w:val="0"/>
      </w:pPr>
      <w:r>
        <w:t>（3）</w:t>
      </w:r>
      <w:r>
        <w:tab/>
      </w:r>
      <w:r>
        <w:t>安全审计数据存储</w:t>
      </w:r>
    </w:p>
    <w:p>
      <w:pPr>
        <w:bidi w:val="0"/>
      </w:pPr>
      <w:r>
        <w:t>由于安全审计数据的有效性直接影响到系统审计分析和入侵检测的有效性，因此必须对审计数据采取必要的保护措施防止其被篡改或破坏，并对安全审计数据的使用进行严格的访问控制。安全审计数据存储保护机制应使审计信息不受审计存储空间耗尽、审计存储故障、各种非法攻击和其他非预期事件的影响。</w:t>
      </w:r>
    </w:p>
    <w:p>
      <w:pPr>
        <w:bidi w:val="0"/>
      </w:pPr>
      <w:r>
        <w:t>（4）</w:t>
      </w:r>
      <w:r>
        <w:tab/>
      </w:r>
      <w:r>
        <w:t>安全审计分析</w:t>
      </w:r>
    </w:p>
    <w:p>
      <w:pPr>
        <w:bidi w:val="0"/>
      </w:pPr>
      <w:r>
        <w:t>对安全审计数据进行分析和处理，一般需要结合入侵检测机制进行，也可作为对安全违例事件的自动响应，可实现对网络可疑行为的检测与识别。</w:t>
      </w:r>
    </w:p>
    <w:p>
      <w:pPr>
        <w:pStyle w:val="6"/>
        <w:bidi w:val="0"/>
        <w:rPr>
          <w:rFonts w:hint="eastAsia"/>
          <w:lang w:val="en-US"/>
        </w:rPr>
      </w:pPr>
      <w:bookmarkStart w:id="296" w:name="bookmark100"/>
      <w:bookmarkStart w:id="297" w:name="bookmark101"/>
      <w:r>
        <w:rPr>
          <w:rFonts w:hint="eastAsia"/>
          <w:lang w:val="en-US"/>
        </w:rPr>
        <w:t>Web信息防篡改系统</w:t>
      </w:r>
      <w:bookmarkEnd w:id="296"/>
      <w:bookmarkEnd w:id="297"/>
    </w:p>
    <w:p>
      <w:pPr>
        <w:pStyle w:val="190"/>
        <w:shd w:val="clear" w:color="auto" w:fill="auto"/>
        <w:spacing w:line="360" w:lineRule="auto"/>
        <w:ind w:firstLine="720"/>
        <w:rPr>
          <w:rFonts w:ascii="宋体" w:hAnsi="宋体" w:eastAsia="宋体"/>
          <w:sz w:val="24"/>
          <w:szCs w:val="24"/>
        </w:rPr>
      </w:pPr>
      <w:r>
        <w:rPr>
          <w:rFonts w:ascii="宋体" w:hAnsi="宋体" w:eastAsia="宋体" w:cs="Arial"/>
          <w:color w:val="000000"/>
          <w:sz w:val="24"/>
          <w:szCs w:val="24"/>
          <w:lang w:val="en-US" w:bidi="en-US"/>
        </w:rPr>
        <w:t>Web</w:t>
      </w:r>
      <w:r>
        <w:rPr>
          <w:rFonts w:ascii="宋体" w:hAnsi="宋体" w:eastAsia="宋体"/>
          <w:color w:val="000000"/>
          <w:sz w:val="24"/>
          <w:szCs w:val="24"/>
        </w:rPr>
        <w:t>信息防篡改系统是信息安全防御系统的重要组成部分，它监控</w:t>
      </w:r>
      <w:r>
        <w:rPr>
          <w:rFonts w:ascii="宋体" w:hAnsi="宋体" w:eastAsia="宋体" w:cs="Arial"/>
          <w:color w:val="000000"/>
          <w:sz w:val="24"/>
          <w:szCs w:val="24"/>
          <w:lang w:val="en-US" w:bidi="en-US"/>
        </w:rPr>
        <w:t>Web</w:t>
      </w:r>
      <w:r>
        <w:rPr>
          <w:rFonts w:ascii="宋体" w:hAnsi="宋体" w:eastAsia="宋体"/>
          <w:color w:val="000000"/>
          <w:sz w:val="24"/>
          <w:szCs w:val="24"/>
        </w:rPr>
        <w:t>服务器和应用服务器上的文件目录，一旦发现文件被非法删除、添加、或者文件的内容、属</w:t>
      </w:r>
      <w:r>
        <w:rPr>
          <w:rFonts w:hint="eastAsia" w:ascii="宋体" w:hAnsi="宋体" w:eastAsia="宋体"/>
          <w:color w:val="000000"/>
          <w:sz w:val="24"/>
          <w:szCs w:val="24"/>
        </w:rPr>
        <w:t>性</w:t>
      </w:r>
      <w:r>
        <w:rPr>
          <w:rFonts w:ascii="宋体" w:hAnsi="宋体" w:eastAsia="宋体"/>
          <w:color w:val="000000"/>
          <w:sz w:val="24"/>
          <w:szCs w:val="24"/>
        </w:rPr>
        <w:t>、修改时间等被非法窜改就及时报警，并在极短的时间内通过可信部署服务自动恢复。</w:t>
      </w:r>
    </w:p>
    <w:p>
      <w:pPr>
        <w:pStyle w:val="5"/>
        <w:bidi w:val="0"/>
        <w:rPr>
          <w:rFonts w:hint="eastAsia"/>
        </w:rPr>
      </w:pPr>
      <w:bookmarkStart w:id="298" w:name="bookmark102"/>
      <w:bookmarkStart w:id="299" w:name="_Toc30400"/>
      <w:bookmarkStart w:id="300" w:name="bookmark103"/>
      <w:r>
        <w:rPr>
          <w:rFonts w:hint="eastAsia"/>
        </w:rPr>
        <w:t>应用级安全保密措施</w:t>
      </w:r>
      <w:bookmarkEnd w:id="298"/>
      <w:bookmarkEnd w:id="299"/>
      <w:bookmarkEnd w:id="300"/>
    </w:p>
    <w:p>
      <w:pPr>
        <w:pStyle w:val="190"/>
        <w:shd w:val="clear" w:color="auto" w:fill="auto"/>
        <w:spacing w:line="360" w:lineRule="auto"/>
        <w:ind w:firstLine="780"/>
        <w:rPr>
          <w:rFonts w:ascii="宋体" w:hAnsi="宋体" w:eastAsia="宋体"/>
          <w:sz w:val="24"/>
          <w:szCs w:val="24"/>
        </w:rPr>
      </w:pPr>
      <w:r>
        <w:rPr>
          <w:rFonts w:ascii="宋体" w:hAnsi="宋体" w:eastAsia="宋体"/>
          <w:color w:val="000000"/>
          <w:sz w:val="24"/>
          <w:szCs w:val="24"/>
        </w:rPr>
        <w:t>在项目的开发研制过程中，应严格按照《计算机软件工程规范》和国际</w:t>
      </w:r>
      <w:r>
        <w:rPr>
          <w:rFonts w:ascii="宋体" w:hAnsi="宋体" w:eastAsia="宋体" w:cs="Arial"/>
          <w:color w:val="000000"/>
          <w:sz w:val="24"/>
          <w:szCs w:val="24"/>
          <w:lang w:val="en-US" w:bidi="en-US"/>
        </w:rPr>
        <w:t>IS09000-3/1997</w:t>
      </w:r>
      <w:r>
        <w:rPr>
          <w:rFonts w:ascii="宋体" w:hAnsi="宋体" w:eastAsia="宋体"/>
          <w:color w:val="000000"/>
          <w:sz w:val="24"/>
          <w:szCs w:val="24"/>
        </w:rPr>
        <w:t>《质量管理和质量保证标准—第三部分：</w:t>
      </w:r>
      <w:r>
        <w:rPr>
          <w:rFonts w:ascii="宋体" w:hAnsi="宋体" w:eastAsia="宋体" w:cs="Arial"/>
          <w:color w:val="000000"/>
          <w:sz w:val="24"/>
          <w:szCs w:val="24"/>
          <w:lang w:val="en-US" w:bidi="en-US"/>
        </w:rPr>
        <w:t>IS09001/1994</w:t>
      </w:r>
      <w:r>
        <w:rPr>
          <w:rFonts w:ascii="宋体" w:hAnsi="宋体" w:eastAsia="宋体"/>
          <w:color w:val="000000"/>
          <w:sz w:val="24"/>
          <w:szCs w:val="24"/>
        </w:rPr>
        <w:t>在计算机软件开发、供应、安装和维护中的应用指南》的要求进行，以确保应用系统在质量保证体系方面的可靠性。</w:t>
      </w:r>
    </w:p>
    <w:p>
      <w:pPr>
        <w:pStyle w:val="190"/>
        <w:shd w:val="clear" w:color="auto" w:fill="auto"/>
        <w:tabs>
          <w:tab w:val="left" w:pos="10622"/>
        </w:tabs>
        <w:spacing w:line="360" w:lineRule="auto"/>
        <w:ind w:firstLine="820"/>
        <w:rPr>
          <w:rFonts w:ascii="宋体" w:hAnsi="宋体" w:eastAsia="宋体"/>
          <w:sz w:val="24"/>
          <w:szCs w:val="24"/>
        </w:rPr>
      </w:pPr>
      <w:r>
        <w:rPr>
          <w:rFonts w:ascii="宋体" w:hAnsi="宋体" w:eastAsia="宋体"/>
          <w:color w:val="000000"/>
          <w:sz w:val="24"/>
          <w:szCs w:val="24"/>
        </w:rPr>
        <w:t>整个应用软件采用网络协同软件体系结构，各项应用均基于网络环境协同工作，应用是面向所有用户，而在实际使用中，很显然，分管领导、系统管理员、会员用户、普通用户对系统的需求是不一样的，对系统的使用权限也是不同的。如何保证系统合理使用，根据用户业务的需求不同，权限不同，提供不同的信息处理，是应用软件安全构架必须解决的问题。</w:t>
      </w:r>
    </w:p>
    <w:p>
      <w:pPr>
        <w:pStyle w:val="190"/>
        <w:shd w:val="clear" w:color="auto" w:fill="auto"/>
        <w:spacing w:line="360" w:lineRule="auto"/>
        <w:ind w:firstLine="780"/>
        <w:rPr>
          <w:rFonts w:ascii="宋体" w:hAnsi="宋体" w:eastAsia="宋体"/>
          <w:sz w:val="24"/>
          <w:szCs w:val="24"/>
        </w:rPr>
      </w:pPr>
      <w:r>
        <w:rPr>
          <w:rFonts w:ascii="宋体" w:hAnsi="宋体" w:eastAsia="宋体"/>
          <w:color w:val="000000"/>
          <w:sz w:val="24"/>
          <w:szCs w:val="24"/>
        </w:rPr>
        <w:t>-开发、测试系统与生产系统要严格分开</w:t>
      </w:r>
    </w:p>
    <w:p>
      <w:pPr>
        <w:pStyle w:val="190"/>
        <w:shd w:val="clear" w:color="auto" w:fill="auto"/>
        <w:spacing w:line="360" w:lineRule="auto"/>
        <w:ind w:firstLine="780"/>
        <w:rPr>
          <w:rFonts w:ascii="宋体" w:hAnsi="宋体" w:eastAsia="宋体"/>
          <w:sz w:val="24"/>
          <w:szCs w:val="24"/>
        </w:rPr>
      </w:pPr>
      <w:r>
        <w:rPr>
          <w:rFonts w:ascii="宋体" w:hAnsi="宋体" w:eastAsia="宋体"/>
          <w:color w:val="000000"/>
          <w:sz w:val="24"/>
          <w:szCs w:val="24"/>
        </w:rPr>
        <w:t>-微机系统要有防病毒措施</w:t>
      </w:r>
    </w:p>
    <w:p>
      <w:pPr>
        <w:pStyle w:val="190"/>
        <w:shd w:val="clear" w:color="auto" w:fill="auto"/>
        <w:spacing w:line="360" w:lineRule="auto"/>
        <w:ind w:firstLine="820"/>
        <w:rPr>
          <w:rFonts w:ascii="宋体" w:hAnsi="宋体" w:eastAsia="宋体"/>
          <w:sz w:val="24"/>
          <w:szCs w:val="24"/>
        </w:rPr>
      </w:pPr>
      <w:r>
        <w:rPr>
          <w:rFonts w:ascii="宋体" w:hAnsi="宋体" w:eastAsia="宋体"/>
          <w:color w:val="000000"/>
          <w:sz w:val="24"/>
          <w:szCs w:val="24"/>
        </w:rPr>
        <w:t>-各使用单位对应用软件不能自行修改， 软件修改只能由开发商或维护单位设专人进行管理</w:t>
      </w:r>
    </w:p>
    <w:p>
      <w:pPr>
        <w:pStyle w:val="190"/>
        <w:shd w:val="clear" w:color="auto" w:fill="auto"/>
        <w:spacing w:line="360" w:lineRule="auto"/>
        <w:ind w:firstLine="780"/>
        <w:rPr>
          <w:rFonts w:ascii="宋体" w:hAnsi="宋体" w:eastAsia="宋体"/>
          <w:sz w:val="24"/>
          <w:szCs w:val="24"/>
        </w:rPr>
      </w:pPr>
      <w:r>
        <w:rPr>
          <w:rFonts w:ascii="宋体" w:hAnsi="宋体" w:eastAsia="宋体"/>
          <w:color w:val="000000"/>
          <w:sz w:val="24"/>
          <w:szCs w:val="24"/>
        </w:rPr>
        <w:t>-采用基于</w:t>
      </w:r>
      <w:r>
        <w:rPr>
          <w:rFonts w:ascii="宋体" w:hAnsi="宋体" w:eastAsia="宋体" w:cs="Arial"/>
          <w:color w:val="000000"/>
          <w:sz w:val="24"/>
          <w:szCs w:val="24"/>
          <w:lang w:val="en-US" w:bidi="en-US"/>
        </w:rPr>
        <w:t>Web</w:t>
      </w:r>
      <w:r>
        <w:rPr>
          <w:rFonts w:ascii="宋体" w:hAnsi="宋体" w:eastAsia="宋体"/>
          <w:color w:val="000000"/>
          <w:sz w:val="24"/>
          <w:szCs w:val="24"/>
        </w:rPr>
        <w:t>勺</w:t>
      </w:r>
      <w:r>
        <w:rPr>
          <w:rFonts w:ascii="宋体" w:hAnsi="宋体" w:eastAsia="宋体" w:cs="Arial"/>
          <w:color w:val="000000"/>
          <w:sz w:val="24"/>
          <w:szCs w:val="24"/>
          <w:lang w:val="en-US" w:bidi="en-US"/>
        </w:rPr>
        <w:t>SSL</w:t>
      </w:r>
      <w:r>
        <w:rPr>
          <w:rFonts w:ascii="宋体" w:hAnsi="宋体" w:eastAsia="宋体"/>
          <w:color w:val="000000"/>
          <w:sz w:val="24"/>
          <w:szCs w:val="24"/>
        </w:rPr>
        <w:t>加密和数字签名</w:t>
      </w:r>
    </w:p>
    <w:p>
      <w:pPr>
        <w:pStyle w:val="190"/>
        <w:shd w:val="clear" w:color="auto" w:fill="auto"/>
        <w:spacing w:line="360" w:lineRule="auto"/>
        <w:ind w:firstLine="780"/>
        <w:rPr>
          <w:rFonts w:ascii="宋体" w:hAnsi="宋体" w:eastAsia="宋体"/>
          <w:sz w:val="24"/>
          <w:szCs w:val="24"/>
        </w:rPr>
      </w:pPr>
      <w:r>
        <w:rPr>
          <w:rFonts w:ascii="宋体" w:hAnsi="宋体" w:eastAsia="宋体"/>
          <w:color w:val="000000"/>
          <w:sz w:val="24"/>
          <w:szCs w:val="24"/>
        </w:rPr>
        <w:t>-用户密码用不可逆算法产生摘要并保存</w:t>
      </w:r>
    </w:p>
    <w:p>
      <w:pPr>
        <w:pStyle w:val="190"/>
        <w:shd w:val="clear" w:color="auto" w:fill="auto"/>
        <w:spacing w:line="360" w:lineRule="auto"/>
        <w:ind w:firstLine="780"/>
        <w:rPr>
          <w:rFonts w:ascii="宋体" w:hAnsi="宋体" w:eastAsia="宋体"/>
          <w:sz w:val="24"/>
          <w:szCs w:val="24"/>
        </w:rPr>
      </w:pPr>
      <w:r>
        <w:rPr>
          <w:rFonts w:ascii="宋体" w:hAnsi="宋体" w:eastAsia="宋体"/>
          <w:color w:val="000000"/>
          <w:sz w:val="24"/>
          <w:szCs w:val="24"/>
        </w:rPr>
        <w:t>-软件系统核心无公开代码</w:t>
      </w:r>
    </w:p>
    <w:p>
      <w:pPr>
        <w:pStyle w:val="190"/>
        <w:shd w:val="clear" w:color="auto" w:fill="auto"/>
        <w:spacing w:line="360" w:lineRule="auto"/>
        <w:ind w:firstLine="780"/>
        <w:rPr>
          <w:rFonts w:ascii="宋体" w:hAnsi="宋体" w:eastAsia="宋体"/>
          <w:sz w:val="24"/>
          <w:szCs w:val="24"/>
        </w:rPr>
      </w:pPr>
      <w:r>
        <w:rPr>
          <w:rFonts w:ascii="宋体" w:hAnsi="宋体" w:eastAsia="宋体"/>
          <w:color w:val="000000"/>
          <w:sz w:val="24"/>
          <w:szCs w:val="24"/>
        </w:rPr>
        <w:t>-管理员权限设置</w:t>
      </w:r>
    </w:p>
    <w:p>
      <w:pPr>
        <w:pStyle w:val="190"/>
        <w:shd w:val="clear" w:color="auto" w:fill="auto"/>
        <w:spacing w:line="360" w:lineRule="auto"/>
        <w:ind w:firstLine="800"/>
        <w:rPr>
          <w:rFonts w:ascii="宋体" w:hAnsi="宋体" w:eastAsia="宋体"/>
          <w:sz w:val="24"/>
          <w:szCs w:val="24"/>
        </w:rPr>
      </w:pPr>
      <w:r>
        <w:rPr>
          <w:rFonts w:ascii="宋体" w:hAnsi="宋体" w:eastAsia="宋体"/>
          <w:color w:val="000000"/>
          <w:sz w:val="24"/>
          <w:szCs w:val="24"/>
        </w:rPr>
        <w:t>本系统中所有参与本系统的人主要分为三大类：</w:t>
      </w:r>
    </w:p>
    <w:p>
      <w:pPr>
        <w:pStyle w:val="190"/>
        <w:shd w:val="clear" w:color="auto" w:fill="auto"/>
        <w:spacing w:line="360" w:lineRule="auto"/>
        <w:ind w:firstLine="800"/>
        <w:rPr>
          <w:rFonts w:ascii="宋体" w:hAnsi="宋体" w:eastAsia="宋体"/>
          <w:sz w:val="24"/>
          <w:szCs w:val="24"/>
        </w:rPr>
      </w:pPr>
      <w:r>
        <w:rPr>
          <w:rFonts w:ascii="宋体" w:hAnsi="宋体" w:eastAsia="宋体"/>
          <w:color w:val="000000"/>
          <w:sz w:val="24"/>
          <w:szCs w:val="24"/>
        </w:rPr>
        <w:t>第一类是</w:t>
      </w:r>
      <w:r>
        <w:rPr>
          <w:rFonts w:hint="eastAsia" w:ascii="宋体" w:hAnsi="宋体" w:eastAsia="宋体"/>
          <w:color w:val="000000"/>
          <w:sz w:val="24"/>
          <w:szCs w:val="24"/>
        </w:rPr>
        <w:t>工会会员</w:t>
      </w:r>
      <w:r>
        <w:rPr>
          <w:rFonts w:ascii="宋体" w:hAnsi="宋体" w:eastAsia="宋体"/>
          <w:color w:val="000000"/>
          <w:sz w:val="24"/>
          <w:szCs w:val="24"/>
        </w:rPr>
        <w:t>，包括加工商，农民和经销商、其他组织等；</w:t>
      </w:r>
    </w:p>
    <w:p>
      <w:pPr>
        <w:pStyle w:val="190"/>
        <w:shd w:val="clear" w:color="auto" w:fill="auto"/>
        <w:spacing w:line="360" w:lineRule="auto"/>
        <w:ind w:firstLine="800"/>
        <w:rPr>
          <w:rFonts w:ascii="宋体" w:hAnsi="宋体" w:eastAsia="宋体"/>
          <w:sz w:val="24"/>
          <w:szCs w:val="24"/>
        </w:rPr>
      </w:pPr>
      <w:r>
        <w:rPr>
          <w:rFonts w:ascii="宋体" w:hAnsi="宋体" w:eastAsia="宋体"/>
          <w:color w:val="000000"/>
          <w:sz w:val="24"/>
          <w:szCs w:val="24"/>
        </w:rPr>
        <w:t>第二类是站点管理员；</w:t>
      </w:r>
    </w:p>
    <w:p>
      <w:pPr>
        <w:pStyle w:val="190"/>
        <w:shd w:val="clear" w:color="auto" w:fill="auto"/>
        <w:spacing w:line="360" w:lineRule="auto"/>
        <w:ind w:firstLine="800"/>
        <w:rPr>
          <w:rFonts w:ascii="宋体" w:hAnsi="宋体" w:eastAsia="宋体"/>
          <w:sz w:val="24"/>
          <w:szCs w:val="24"/>
        </w:rPr>
      </w:pPr>
      <w:r>
        <w:rPr>
          <w:rFonts w:ascii="宋体" w:hAnsi="宋体" w:eastAsia="宋体"/>
          <w:color w:val="000000"/>
          <w:sz w:val="24"/>
          <w:szCs w:val="24"/>
        </w:rPr>
        <w:t>第三类是一般浏览者。</w:t>
      </w:r>
    </w:p>
    <w:p>
      <w:pPr>
        <w:pStyle w:val="190"/>
        <w:shd w:val="clear" w:color="auto" w:fill="auto"/>
        <w:spacing w:line="360" w:lineRule="auto"/>
        <w:ind w:firstLine="840"/>
        <w:rPr>
          <w:rFonts w:ascii="宋体" w:hAnsi="宋体" w:eastAsia="宋体"/>
          <w:sz w:val="24"/>
          <w:szCs w:val="24"/>
        </w:rPr>
      </w:pPr>
      <w:r>
        <w:rPr>
          <w:rFonts w:ascii="宋体" w:hAnsi="宋体" w:eastAsia="宋体"/>
          <w:color w:val="000000"/>
          <w:sz w:val="24"/>
          <w:szCs w:val="24"/>
        </w:rPr>
        <w:t>以上三类人员拥有不同的权限。具体体现为：当登录用户访问了一个无权限的</w:t>
      </w:r>
      <w:r>
        <w:rPr>
          <w:rFonts w:ascii="宋体" w:hAnsi="宋体" w:eastAsia="宋体" w:cs="Arial"/>
          <w:color w:val="000000"/>
          <w:sz w:val="24"/>
          <w:szCs w:val="24"/>
          <w:lang w:val="en-US" w:bidi="en-US"/>
        </w:rPr>
        <w:t>URL</w:t>
      </w:r>
      <w:r>
        <w:rPr>
          <w:rFonts w:hint="eastAsia" w:ascii="宋体" w:hAnsi="宋体" w:eastAsia="宋体" w:cs="Arial"/>
          <w:color w:val="000000"/>
          <w:sz w:val="24"/>
          <w:szCs w:val="24"/>
          <w:lang w:val="en-US" w:bidi="en-US"/>
        </w:rPr>
        <w:t>，</w:t>
      </w:r>
      <w:r>
        <w:rPr>
          <w:rFonts w:ascii="宋体" w:hAnsi="宋体" w:eastAsia="宋体"/>
          <w:color w:val="000000"/>
          <w:sz w:val="24"/>
          <w:szCs w:val="24"/>
        </w:rPr>
        <w:t>系统能限制这种访问，并提示用户登录，当此用户已登录，系统会提示权限不够。</w:t>
      </w:r>
    </w:p>
    <w:p>
      <w:pPr>
        <w:pStyle w:val="5"/>
        <w:bidi w:val="0"/>
        <w:rPr>
          <w:rFonts w:hint="eastAsia"/>
        </w:rPr>
      </w:pPr>
      <w:bookmarkStart w:id="301" w:name="_Toc23133"/>
      <w:bookmarkStart w:id="302" w:name="bookmark104"/>
      <w:bookmarkStart w:id="303" w:name="bookmark105"/>
      <w:r>
        <w:rPr>
          <w:rFonts w:hint="eastAsia"/>
        </w:rPr>
        <w:t>用户级安全保密措施</w:t>
      </w:r>
      <w:bookmarkEnd w:id="301"/>
      <w:bookmarkEnd w:id="302"/>
      <w:bookmarkEnd w:id="303"/>
    </w:p>
    <w:p>
      <w:pPr>
        <w:pStyle w:val="6"/>
        <w:bidi w:val="0"/>
        <w:rPr>
          <w:rFonts w:hint="eastAsia"/>
          <w:lang w:val="en-US"/>
        </w:rPr>
      </w:pPr>
      <w:bookmarkStart w:id="304" w:name="bookmark106"/>
      <w:bookmarkStart w:id="305" w:name="bookmark107"/>
      <w:r>
        <w:rPr>
          <w:rFonts w:hint="eastAsia"/>
          <w:lang w:val="en-US"/>
        </w:rPr>
        <w:t>用户管理规范</w:t>
      </w:r>
      <w:bookmarkEnd w:id="304"/>
      <w:bookmarkEnd w:id="305"/>
    </w:p>
    <w:p>
      <w:pPr>
        <w:pStyle w:val="190"/>
        <w:shd w:val="clear" w:color="auto" w:fill="auto"/>
        <w:tabs>
          <w:tab w:val="left" w:pos="9891"/>
        </w:tabs>
        <w:spacing w:line="360" w:lineRule="auto"/>
        <w:ind w:firstLine="800"/>
        <w:rPr>
          <w:rFonts w:ascii="宋体" w:hAnsi="宋体" w:eastAsia="宋体"/>
          <w:sz w:val="24"/>
          <w:szCs w:val="24"/>
        </w:rPr>
      </w:pPr>
      <w:r>
        <w:rPr>
          <w:rFonts w:ascii="宋体" w:hAnsi="宋体" w:eastAsia="宋体"/>
          <w:color w:val="000000"/>
          <w:sz w:val="24"/>
          <w:szCs w:val="24"/>
        </w:rPr>
        <w:t>用户管理是指对</w:t>
      </w:r>
      <w:r>
        <w:rPr>
          <w:rFonts w:hint="eastAsia" w:ascii="宋体" w:hAnsi="宋体" w:eastAsia="宋体"/>
          <w:color w:val="000000"/>
          <w:sz w:val="24"/>
          <w:szCs w:val="24"/>
        </w:rPr>
        <w:t>河源市和平县农副产品展销平台</w:t>
      </w:r>
      <w:r>
        <w:rPr>
          <w:rFonts w:ascii="宋体" w:hAnsi="宋体" w:eastAsia="宋体"/>
          <w:color w:val="000000"/>
          <w:sz w:val="24"/>
          <w:szCs w:val="24"/>
        </w:rPr>
        <w:t>的用户实施科学、规范化的管理，使用户能够随时获得满意而优质的服务。</w:t>
      </w:r>
    </w:p>
    <w:p>
      <w:pPr>
        <w:pStyle w:val="6"/>
        <w:bidi w:val="0"/>
        <w:rPr>
          <w:rFonts w:hint="eastAsia"/>
          <w:lang w:val="en-US"/>
        </w:rPr>
      </w:pPr>
      <w:bookmarkStart w:id="306" w:name="bookmark109"/>
      <w:bookmarkStart w:id="307" w:name="bookmark108"/>
      <w:r>
        <w:rPr>
          <w:rFonts w:hint="eastAsia"/>
          <w:lang w:val="en-US"/>
        </w:rPr>
        <w:t>用户分类和管理范围</w:t>
      </w:r>
      <w:bookmarkEnd w:id="306"/>
      <w:bookmarkEnd w:id="307"/>
    </w:p>
    <w:p>
      <w:pPr>
        <w:pStyle w:val="190"/>
        <w:shd w:val="clear" w:color="auto" w:fill="auto"/>
        <w:spacing w:line="360" w:lineRule="auto"/>
        <w:ind w:firstLine="800"/>
        <w:jc w:val="both"/>
        <w:rPr>
          <w:rFonts w:ascii="宋体" w:hAnsi="宋体" w:eastAsia="宋体"/>
          <w:sz w:val="24"/>
          <w:szCs w:val="24"/>
        </w:rPr>
      </w:pPr>
      <w:r>
        <w:rPr>
          <w:rFonts w:ascii="宋体" w:hAnsi="宋体" w:eastAsia="宋体"/>
          <w:color w:val="000000"/>
          <w:sz w:val="24"/>
          <w:szCs w:val="24"/>
        </w:rPr>
        <w:t>信息系统用户在整体上分为系统用户和一般用户两个层次：</w:t>
      </w:r>
    </w:p>
    <w:p>
      <w:pPr>
        <w:pStyle w:val="190"/>
        <w:shd w:val="clear" w:color="auto" w:fill="auto"/>
        <w:spacing w:line="360" w:lineRule="auto"/>
        <w:ind w:firstLine="800"/>
        <w:jc w:val="both"/>
        <w:rPr>
          <w:rFonts w:ascii="宋体" w:hAnsi="宋体" w:eastAsia="宋体"/>
          <w:sz w:val="24"/>
          <w:szCs w:val="24"/>
        </w:rPr>
      </w:pPr>
      <w:r>
        <w:rPr>
          <w:rFonts w:ascii="宋体" w:hAnsi="宋体" w:eastAsia="宋体"/>
          <w:color w:val="000000"/>
          <w:sz w:val="24"/>
          <w:szCs w:val="24"/>
        </w:rPr>
        <w:t>系统用户：系统用户指网站管理人员、信息维护人员和信息中心工作人员， 系统用户的管理范围是用户登记、权限管理、信息管理和安全管理。</w:t>
      </w:r>
    </w:p>
    <w:p>
      <w:pPr>
        <w:pStyle w:val="190"/>
        <w:shd w:val="clear" w:color="auto" w:fill="auto"/>
        <w:spacing w:line="360" w:lineRule="auto"/>
        <w:ind w:firstLine="800"/>
        <w:rPr>
          <w:rFonts w:ascii="宋体" w:hAnsi="宋体" w:eastAsia="宋体"/>
          <w:sz w:val="24"/>
          <w:szCs w:val="24"/>
        </w:rPr>
      </w:pPr>
      <w:r>
        <w:rPr>
          <w:rFonts w:ascii="宋体" w:hAnsi="宋体" w:eastAsia="宋体"/>
          <w:color w:val="000000"/>
          <w:sz w:val="24"/>
          <w:szCs w:val="24"/>
        </w:rPr>
        <w:t>一般用户：指使用浏览器访问系统的用户以及申请登记使用某项具体应用业务的用户。</w:t>
      </w:r>
    </w:p>
    <w:p>
      <w:pPr>
        <w:pStyle w:val="6"/>
        <w:bidi w:val="0"/>
        <w:rPr>
          <w:rFonts w:hint="eastAsia"/>
          <w:lang w:val="en-US"/>
        </w:rPr>
      </w:pPr>
      <w:bookmarkStart w:id="308" w:name="bookmark111"/>
      <w:bookmarkStart w:id="309" w:name="bookmark110"/>
      <w:r>
        <w:rPr>
          <w:rFonts w:hint="eastAsia"/>
          <w:lang w:val="en-US"/>
        </w:rPr>
        <w:t>管理原则</w:t>
      </w:r>
      <w:bookmarkEnd w:id="308"/>
      <w:bookmarkEnd w:id="309"/>
    </w:p>
    <w:p>
      <w:pPr>
        <w:pStyle w:val="190"/>
        <w:shd w:val="clear" w:color="auto" w:fill="auto"/>
        <w:spacing w:line="360" w:lineRule="auto"/>
        <w:ind w:firstLine="800"/>
        <w:rPr>
          <w:rFonts w:ascii="宋体" w:hAnsi="宋体" w:eastAsia="宋体"/>
          <w:sz w:val="24"/>
          <w:szCs w:val="24"/>
        </w:rPr>
      </w:pPr>
      <w:r>
        <w:rPr>
          <w:rFonts w:ascii="宋体" w:hAnsi="宋体" w:eastAsia="宋体"/>
          <w:color w:val="000000"/>
          <w:sz w:val="24"/>
          <w:szCs w:val="24"/>
        </w:rPr>
        <w:t>系统用户由系统平台进行管理。系统平台负责审核用户的身份、为审核通过的用户分配帐号密码；包括新增、修改和删除等功能。系统平台承担因审核错误、分配错误等事故引发的责任。</w:t>
      </w:r>
    </w:p>
    <w:p>
      <w:pPr>
        <w:pStyle w:val="190"/>
        <w:shd w:val="clear" w:color="auto" w:fill="auto"/>
        <w:spacing w:line="360" w:lineRule="auto"/>
        <w:ind w:firstLine="800"/>
        <w:rPr>
          <w:rFonts w:ascii="宋体" w:hAnsi="宋体" w:eastAsia="宋体"/>
          <w:sz w:val="24"/>
          <w:szCs w:val="24"/>
        </w:rPr>
      </w:pPr>
      <w:r>
        <w:rPr>
          <w:rFonts w:ascii="宋体" w:hAnsi="宋体" w:eastAsia="宋体"/>
          <w:color w:val="000000"/>
          <w:sz w:val="24"/>
          <w:szCs w:val="24"/>
        </w:rPr>
        <w:t>一般用户由各业务系统负责管理。 在一般用户申请使用某项业务后，业务系统负责审核用户是否有权享受该项服务，对用户进行权限控制。业务系统承担因审核批准不合适的一般用户使用某项应用业务而引发的责任。</w:t>
      </w:r>
    </w:p>
    <w:p>
      <w:pPr>
        <w:pStyle w:val="6"/>
        <w:bidi w:val="0"/>
        <w:rPr>
          <w:rFonts w:hint="eastAsia"/>
          <w:lang w:val="en-US"/>
        </w:rPr>
      </w:pPr>
      <w:bookmarkStart w:id="310" w:name="bookmark112"/>
      <w:bookmarkStart w:id="311" w:name="bookmark113"/>
      <w:r>
        <w:rPr>
          <w:rFonts w:hint="eastAsia"/>
          <w:lang w:val="en-US"/>
        </w:rPr>
        <w:t>管理员用户管理</w:t>
      </w:r>
      <w:bookmarkEnd w:id="310"/>
      <w:bookmarkEnd w:id="311"/>
    </w:p>
    <w:p>
      <w:pPr>
        <w:pStyle w:val="190"/>
        <w:shd w:val="clear" w:color="auto" w:fill="auto"/>
        <w:spacing w:line="360" w:lineRule="auto"/>
        <w:ind w:firstLine="800"/>
        <w:rPr>
          <w:rFonts w:ascii="宋体" w:hAnsi="宋体" w:eastAsia="宋体"/>
          <w:sz w:val="24"/>
          <w:szCs w:val="24"/>
        </w:rPr>
      </w:pPr>
      <w:r>
        <w:rPr>
          <w:rFonts w:ascii="宋体" w:hAnsi="宋体" w:eastAsia="宋体"/>
          <w:color w:val="000000"/>
          <w:sz w:val="24"/>
          <w:szCs w:val="24"/>
        </w:rPr>
        <w:t>系统用户的管理包含以下内容：</w:t>
      </w:r>
    </w:p>
    <w:p>
      <w:pPr>
        <w:pStyle w:val="190"/>
        <w:shd w:val="clear" w:color="auto" w:fill="auto"/>
        <w:spacing w:line="360" w:lineRule="auto"/>
        <w:ind w:firstLine="800"/>
        <w:rPr>
          <w:rFonts w:ascii="宋体" w:hAnsi="宋体" w:eastAsia="宋体"/>
          <w:sz w:val="24"/>
          <w:szCs w:val="24"/>
        </w:rPr>
      </w:pPr>
      <w:r>
        <w:rPr>
          <w:rFonts w:ascii="宋体" w:hAnsi="宋体" w:eastAsia="宋体"/>
          <w:color w:val="000000"/>
          <w:sz w:val="24"/>
          <w:szCs w:val="24"/>
        </w:rPr>
        <w:t>用户注册管理：用户注册由系统管理员完成，注册过程根据系统需要限定于在管理服务器上进行或者在其他制定的管理终端上进行。</w:t>
      </w:r>
    </w:p>
    <w:p>
      <w:pPr>
        <w:pStyle w:val="190"/>
        <w:shd w:val="clear" w:color="auto" w:fill="auto"/>
        <w:spacing w:line="360" w:lineRule="auto"/>
        <w:ind w:firstLine="800"/>
        <w:rPr>
          <w:rFonts w:ascii="宋体" w:hAnsi="宋体" w:eastAsia="宋体"/>
          <w:sz w:val="24"/>
          <w:szCs w:val="24"/>
        </w:rPr>
      </w:pPr>
      <w:r>
        <w:rPr>
          <w:rFonts w:ascii="宋体" w:hAnsi="宋体" w:eastAsia="宋体"/>
          <w:color w:val="000000"/>
          <w:sz w:val="24"/>
          <w:szCs w:val="24"/>
        </w:rPr>
        <w:t>用户访问权限：系统可以定义用户访问权限，用户访问权限包括系统功能模块使用权限和公文信息读写权限等。</w:t>
      </w:r>
    </w:p>
    <w:p>
      <w:pPr>
        <w:pStyle w:val="190"/>
        <w:shd w:val="clear" w:color="auto" w:fill="auto"/>
        <w:tabs>
          <w:tab w:val="left" w:pos="12848"/>
        </w:tabs>
        <w:spacing w:line="360" w:lineRule="auto"/>
        <w:ind w:firstLine="800"/>
        <w:rPr>
          <w:rFonts w:ascii="宋体" w:hAnsi="宋体" w:eastAsia="宋体"/>
          <w:sz w:val="24"/>
          <w:szCs w:val="24"/>
        </w:rPr>
      </w:pPr>
      <w:r>
        <w:rPr>
          <w:rFonts w:ascii="宋体" w:hAnsi="宋体" w:eastAsia="宋体"/>
          <w:color w:val="000000"/>
          <w:sz w:val="24"/>
          <w:szCs w:val="24"/>
        </w:rPr>
        <w:t>系统资源占用：管理员可根据需要定义用户对系统公共资源的使用界限，如邮箱的大小、是否可以通过一台服务器访问另外的服务器等。</w:t>
      </w:r>
    </w:p>
    <w:p>
      <w:pPr>
        <w:pStyle w:val="190"/>
        <w:shd w:val="clear" w:color="auto" w:fill="auto"/>
        <w:spacing w:line="360" w:lineRule="auto"/>
        <w:ind w:firstLine="800"/>
        <w:rPr>
          <w:rFonts w:ascii="宋体" w:hAnsi="宋体" w:eastAsia="宋体"/>
        </w:rPr>
      </w:pPr>
      <w:r>
        <w:rPr>
          <w:rFonts w:ascii="宋体" w:hAnsi="宋体" w:eastAsia="宋体"/>
          <w:color w:val="000000"/>
          <w:sz w:val="24"/>
          <w:szCs w:val="24"/>
        </w:rPr>
        <w:t>用户的移动：系统管理员可以借助管理进程的帮助在系统内部移动用户名和更改用户名</w:t>
      </w:r>
      <w:r>
        <w:rPr>
          <w:rFonts w:hint="eastAsia" w:ascii="宋体" w:hAnsi="宋体" w:eastAsia="宋体"/>
          <w:color w:val="000000"/>
          <w:sz w:val="24"/>
          <w:szCs w:val="24"/>
        </w:rPr>
        <w:t>。</w:t>
      </w:r>
      <w:r>
        <w:rPr>
          <w:rFonts w:ascii="宋体" w:hAnsi="宋体" w:eastAsia="宋体"/>
        </w:rPr>
        <w:t xml:space="preserve"> </w:t>
      </w:r>
    </w:p>
    <w:p>
      <w:pPr>
        <w:pStyle w:val="6"/>
        <w:bidi w:val="0"/>
        <w:rPr>
          <w:rFonts w:hint="eastAsia"/>
          <w:lang w:val="en-US"/>
        </w:rPr>
      </w:pPr>
      <w:bookmarkStart w:id="312" w:name="bookmark115"/>
      <w:bookmarkStart w:id="313" w:name="bookmark114"/>
      <w:r>
        <w:rPr>
          <w:rFonts w:hint="eastAsia"/>
          <w:lang w:val="en-US"/>
        </w:rPr>
        <w:t>一般用户管理</w:t>
      </w:r>
      <w:bookmarkEnd w:id="312"/>
      <w:bookmarkEnd w:id="313"/>
    </w:p>
    <w:p>
      <w:pPr>
        <w:pStyle w:val="190"/>
        <w:shd w:val="clear" w:color="auto" w:fill="auto"/>
        <w:spacing w:line="360" w:lineRule="auto"/>
        <w:ind w:firstLine="480" w:firstLineChars="200"/>
        <w:rPr>
          <w:rFonts w:ascii="宋体" w:hAnsi="宋体" w:eastAsia="宋体"/>
          <w:sz w:val="24"/>
          <w:szCs w:val="24"/>
        </w:rPr>
      </w:pPr>
      <w:r>
        <w:rPr>
          <w:rFonts w:ascii="宋体" w:hAnsi="宋体" w:eastAsia="宋体"/>
          <w:color w:val="000000"/>
          <w:sz w:val="24"/>
          <w:szCs w:val="24"/>
        </w:rPr>
        <w:t>应用（业务）系统授权通过审核的用户使用该项业务，或为用户在应用信息 （业务）系统内开设帐号。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ascii="宋体" w:hAnsi="宋体" w:eastAsia="宋体"/>
          <w:color w:val="000000"/>
          <w:sz w:val="24"/>
          <w:szCs w:val="24"/>
        </w:rPr>
        <w:t>根据业务需求，应用（业务）可以对业务用户的权限进行控制；根据业务需要可以决定是否对用户享有的服务进行分级别控制；对业务用户必须在业务统计和业务结算的功能。</w:t>
      </w:r>
    </w:p>
    <w:p>
      <w:pPr>
        <w:pStyle w:val="13"/>
      </w:pPr>
    </w:p>
    <w:p>
      <w:pPr>
        <w:pStyle w:val="3"/>
        <w:tabs>
          <w:tab w:val="clear" w:pos="3402"/>
          <w:tab w:val="clear" w:pos="3828"/>
        </w:tabs>
        <w:rPr>
          <w:rFonts w:ascii="Times New Roman" w:hAnsi="Times New Roman"/>
          <w:color w:val="000000" w:themeColor="text1"/>
          <w:szCs w:val="32"/>
          <w14:textFill>
            <w14:solidFill>
              <w14:schemeClr w14:val="tx1"/>
            </w14:solidFill>
          </w14:textFill>
        </w:rPr>
      </w:pPr>
      <w:bookmarkStart w:id="314" w:name="_Toc12036"/>
      <w:r>
        <w:rPr>
          <w:rFonts w:hint="eastAsia" w:ascii="Times New Roman" w:hAnsi="Times New Roman"/>
          <w:color w:val="000000" w:themeColor="text1"/>
          <w:szCs w:val="32"/>
          <w14:textFill>
            <w14:solidFill>
              <w14:schemeClr w14:val="tx1"/>
            </w14:solidFill>
          </w14:textFill>
        </w:rPr>
        <w:t>项目管理</w:t>
      </w:r>
      <w:bookmarkEnd w:id="272"/>
      <w:bookmarkEnd w:id="273"/>
      <w:bookmarkEnd w:id="314"/>
    </w:p>
    <w:p>
      <w:pPr>
        <w:pStyle w:val="4"/>
        <w:rPr>
          <w:rFonts w:eastAsiaTheme="majorEastAsia"/>
          <w:color w:val="000000" w:themeColor="text1"/>
          <w14:textFill>
            <w14:solidFill>
              <w14:schemeClr w14:val="tx1"/>
            </w14:solidFill>
          </w14:textFill>
        </w:rPr>
      </w:pPr>
      <w:bookmarkStart w:id="315" w:name="_Toc27680566"/>
      <w:bookmarkStart w:id="316" w:name="_Toc27936043"/>
      <w:bookmarkStart w:id="317" w:name="_Toc28937"/>
      <w:bookmarkStart w:id="318" w:name="_Toc437890620"/>
      <w:r>
        <w:rPr>
          <w:rFonts w:hint="eastAsia"/>
          <w:color w:val="000000" w:themeColor="text1"/>
          <w14:textFill>
            <w14:solidFill>
              <w14:schemeClr w14:val="tx1"/>
            </w14:solidFill>
          </w14:textFill>
        </w:rPr>
        <w:t>项目实施进度</w:t>
      </w:r>
      <w:bookmarkEnd w:id="315"/>
      <w:bookmarkEnd w:id="316"/>
      <w:bookmarkEnd w:id="317"/>
    </w:p>
    <w:p>
      <w:pPr>
        <w:pStyle w:val="5"/>
        <w:bidi w:val="0"/>
        <w:rPr>
          <w:rFonts w:hint="default"/>
          <w:lang w:val="en-US" w:eastAsia="zh-CN"/>
        </w:rPr>
      </w:pPr>
      <w:bookmarkStart w:id="319" w:name="_Toc28607"/>
      <w:r>
        <w:rPr>
          <w:rFonts w:hint="eastAsia"/>
          <w:lang w:val="en-US" w:eastAsia="zh-CN"/>
        </w:rPr>
        <w:t>项目周期</w:t>
      </w:r>
      <w:bookmarkEnd w:id="319"/>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按照项目需求，计划项目实施应在</w:t>
      </w:r>
      <w:r>
        <w:rPr>
          <w:rFonts w:hint="eastAsia" w:cs="宋体"/>
          <w:color w:val="000000"/>
          <w:sz w:val="24"/>
          <w:lang w:val="en-US" w:eastAsia="zh-CN"/>
        </w:rPr>
        <w:t>2</w:t>
      </w:r>
      <w:r>
        <w:rPr>
          <w:rFonts w:hint="eastAsia" w:ascii="宋体" w:hAnsi="宋体" w:eastAsia="宋体" w:cs="宋体"/>
          <w:color w:val="000000"/>
          <w:sz w:val="24"/>
        </w:rPr>
        <w:t>个月内完成。</w:t>
      </w:r>
    </w:p>
    <w:p>
      <w:pPr>
        <w:pStyle w:val="5"/>
        <w:bidi w:val="0"/>
        <w:rPr>
          <w:rFonts w:hint="default"/>
          <w:lang w:val="en-US" w:eastAsia="zh-CN"/>
        </w:rPr>
      </w:pPr>
      <w:bookmarkStart w:id="320" w:name="_Toc22337"/>
      <w:r>
        <w:rPr>
          <w:rFonts w:hint="eastAsia"/>
          <w:lang w:val="en-US" w:eastAsia="zh-CN"/>
        </w:rPr>
        <w:t>进度计划</w:t>
      </w:r>
      <w:bookmarkEnd w:id="320"/>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2217"/>
        <w:gridCol w:w="3114"/>
        <w:gridCol w:w="2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529" w:type="pct"/>
            <w:shd w:val="clear" w:color="auto" w:fill="FFFFFF"/>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序号</w:t>
            </w:r>
          </w:p>
        </w:tc>
        <w:tc>
          <w:tcPr>
            <w:tcW w:w="1300" w:type="pct"/>
            <w:shd w:val="clear" w:color="auto" w:fill="FFFFFF"/>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工作内容</w:t>
            </w:r>
          </w:p>
        </w:tc>
        <w:tc>
          <w:tcPr>
            <w:tcW w:w="1826"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里程碑事件</w:t>
            </w:r>
          </w:p>
        </w:tc>
        <w:tc>
          <w:tcPr>
            <w:tcW w:w="1344"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9"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cs="宋体"/>
                <w:b w:val="0"/>
                <w:bCs/>
                <w:color w:val="000000" w:themeColor="text1"/>
                <w:sz w:val="24"/>
                <w:szCs w:val="24"/>
                <w:lang w:val="en-US" w:eastAsia="zh-CN"/>
                <w14:textFill>
                  <w14:solidFill>
                    <w14:schemeClr w14:val="tx1"/>
                  </w14:solidFill>
                </w14:textFill>
              </w:rPr>
              <w:t>1</w:t>
            </w:r>
          </w:p>
        </w:tc>
        <w:tc>
          <w:tcPr>
            <w:tcW w:w="1300"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服务实施启动</w:t>
            </w:r>
          </w:p>
        </w:tc>
        <w:tc>
          <w:tcPr>
            <w:tcW w:w="1826"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项目正式启动</w:t>
            </w:r>
          </w:p>
        </w:tc>
        <w:tc>
          <w:tcPr>
            <w:tcW w:w="1344"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T+0</w:t>
            </w:r>
            <w:r>
              <w:rPr>
                <w:rFonts w:hint="eastAsia" w:cs="宋体"/>
                <w:b w:val="0"/>
                <w:bCs/>
                <w:color w:val="000000" w:themeColor="text1"/>
                <w:sz w:val="24"/>
                <w:szCs w:val="24"/>
                <w:lang w:val="en-US"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T+</w:t>
            </w:r>
            <w:r>
              <w:rPr>
                <w:rFonts w:hint="eastAsia" w:ascii="宋体" w:hAnsi="宋体" w:eastAsia="宋体" w:cs="宋体"/>
                <w:b w:val="0"/>
                <w:bCs/>
                <w:color w:val="000000" w:themeColor="text1"/>
                <w:sz w:val="24"/>
                <w:szCs w:val="24"/>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9"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cs="宋体"/>
                <w:b w:val="0"/>
                <w:bCs/>
                <w:color w:val="000000" w:themeColor="text1"/>
                <w:sz w:val="24"/>
                <w:szCs w:val="24"/>
                <w:lang w:val="en-US" w:eastAsia="zh-CN"/>
                <w14:textFill>
                  <w14:solidFill>
                    <w14:schemeClr w14:val="tx1"/>
                  </w14:solidFill>
                </w14:textFill>
              </w:rPr>
              <w:t>2</w:t>
            </w:r>
          </w:p>
        </w:tc>
        <w:tc>
          <w:tcPr>
            <w:tcW w:w="1300"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需求调研</w:t>
            </w:r>
          </w:p>
        </w:tc>
        <w:tc>
          <w:tcPr>
            <w:tcW w:w="1826"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调研报告</w:t>
            </w:r>
          </w:p>
        </w:tc>
        <w:tc>
          <w:tcPr>
            <w:tcW w:w="1344"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宋体" w:hAnsi="宋体" w:eastAsia="宋体" w:cs="宋体"/>
                <w:b w:val="0"/>
                <w:bCs/>
                <w:color w:val="000000" w:themeColor="text1"/>
                <w:sz w:val="24"/>
                <w:szCs w:val="24"/>
                <w:lang w:val="en-US"/>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T+</w:t>
            </w:r>
            <w:r>
              <w:rPr>
                <w:rFonts w:hint="eastAsia" w:ascii="宋体" w:hAnsi="宋体" w:eastAsia="宋体" w:cs="宋体"/>
                <w:b w:val="0"/>
                <w:bCs/>
                <w:color w:val="000000" w:themeColor="text1"/>
                <w:sz w:val="24"/>
                <w:szCs w:val="24"/>
                <w:lang w:val="en-US" w:eastAsia="zh-CN"/>
                <w14:textFill>
                  <w14:solidFill>
                    <w14:schemeClr w14:val="tx1"/>
                  </w14:solidFill>
                </w14:textFill>
              </w:rPr>
              <w:t>4</w:t>
            </w:r>
            <w:r>
              <w:rPr>
                <w:rFonts w:hint="eastAsia" w:cs="宋体"/>
                <w:b w:val="0"/>
                <w:bCs/>
                <w:color w:val="000000" w:themeColor="text1"/>
                <w:sz w:val="24"/>
                <w:szCs w:val="24"/>
                <w:lang w:val="en-US"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T+</w:t>
            </w:r>
            <w:r>
              <w:rPr>
                <w:rFonts w:hint="eastAsia" w:cs="宋体"/>
                <w:b w:val="0"/>
                <w:bCs/>
                <w:color w:val="000000" w:themeColor="text1"/>
                <w:sz w:val="24"/>
                <w:szCs w:val="24"/>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9"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cs="宋体"/>
                <w:b w:val="0"/>
                <w:bCs/>
                <w:color w:val="000000" w:themeColor="text1"/>
                <w:sz w:val="24"/>
                <w:szCs w:val="24"/>
                <w:lang w:val="en-US" w:eastAsia="zh-CN"/>
                <w14:textFill>
                  <w14:solidFill>
                    <w14:schemeClr w14:val="tx1"/>
                  </w14:solidFill>
                </w14:textFill>
              </w:rPr>
              <w:t>3</w:t>
            </w:r>
          </w:p>
        </w:tc>
        <w:tc>
          <w:tcPr>
            <w:tcW w:w="1300"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需求分析</w:t>
            </w:r>
          </w:p>
        </w:tc>
        <w:tc>
          <w:tcPr>
            <w:tcW w:w="1826"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确认业务需求说明书</w:t>
            </w:r>
          </w:p>
        </w:tc>
        <w:tc>
          <w:tcPr>
            <w:tcW w:w="1344"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T+</w:t>
            </w:r>
            <w:r>
              <w:rPr>
                <w:rFonts w:hint="eastAsia" w:ascii="宋体" w:hAnsi="宋体" w:eastAsia="宋体" w:cs="宋体"/>
                <w:b w:val="0"/>
                <w:bCs/>
                <w:color w:val="000000" w:themeColor="text1"/>
                <w:sz w:val="24"/>
                <w:szCs w:val="24"/>
                <w:lang w:val="en-US" w:eastAsia="zh-CN"/>
                <w14:textFill>
                  <w14:solidFill>
                    <w14:schemeClr w14:val="tx1"/>
                  </w14:solidFill>
                </w14:textFill>
              </w:rPr>
              <w:t>8</w:t>
            </w:r>
            <w:r>
              <w:rPr>
                <w:rFonts w:hint="eastAsia" w:cs="宋体"/>
                <w:b w:val="0"/>
                <w:bCs/>
                <w:color w:val="000000" w:themeColor="text1"/>
                <w:sz w:val="24"/>
                <w:szCs w:val="24"/>
                <w:lang w:val="en-US"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T+</w:t>
            </w:r>
            <w:r>
              <w:rPr>
                <w:rFonts w:hint="eastAsia" w:ascii="宋体" w:hAnsi="宋体" w:eastAsia="宋体" w:cs="宋体"/>
                <w:b w:val="0"/>
                <w:bCs/>
                <w:color w:val="000000" w:themeColor="text1"/>
                <w:sz w:val="24"/>
                <w:szCs w:val="24"/>
                <w:lang w:val="en-US" w:eastAsia="zh-CN"/>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9"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cs="宋体"/>
                <w:b w:val="0"/>
                <w:bCs/>
                <w:color w:val="000000" w:themeColor="text1"/>
                <w:sz w:val="24"/>
                <w:szCs w:val="24"/>
                <w:lang w:val="en-US" w:eastAsia="zh-CN"/>
                <w14:textFill>
                  <w14:solidFill>
                    <w14:schemeClr w14:val="tx1"/>
                  </w14:solidFill>
                </w14:textFill>
              </w:rPr>
              <w:t>4</w:t>
            </w:r>
          </w:p>
        </w:tc>
        <w:tc>
          <w:tcPr>
            <w:tcW w:w="1300"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系统开发</w:t>
            </w:r>
          </w:p>
        </w:tc>
        <w:tc>
          <w:tcPr>
            <w:tcW w:w="1826"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完成页面+子系统的开发和联调工作</w:t>
            </w:r>
          </w:p>
        </w:tc>
        <w:tc>
          <w:tcPr>
            <w:tcW w:w="1344"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T+</w:t>
            </w:r>
            <w:r>
              <w:rPr>
                <w:rFonts w:hint="eastAsia" w:ascii="宋体" w:hAnsi="宋体" w:eastAsia="宋体" w:cs="宋体"/>
                <w:b w:val="0"/>
                <w:bCs/>
                <w:color w:val="000000" w:themeColor="text1"/>
                <w:sz w:val="24"/>
                <w:szCs w:val="24"/>
                <w:lang w:val="en-US" w:eastAsia="zh-CN"/>
                <w14:textFill>
                  <w14:solidFill>
                    <w14:schemeClr w14:val="tx1"/>
                  </w14:solidFill>
                </w14:textFill>
              </w:rPr>
              <w:t>12</w:t>
            </w:r>
            <w:r>
              <w:rPr>
                <w:rFonts w:hint="eastAsia" w:cs="宋体"/>
                <w:b w:val="0"/>
                <w:bCs/>
                <w:color w:val="000000" w:themeColor="text1"/>
                <w:sz w:val="24"/>
                <w:szCs w:val="24"/>
                <w:lang w:val="en-US"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T+</w:t>
            </w:r>
            <w:r>
              <w:rPr>
                <w:rFonts w:hint="eastAsia" w:cs="宋体"/>
                <w:b w:val="0"/>
                <w:bCs/>
                <w:color w:val="000000" w:themeColor="text1"/>
                <w:sz w:val="24"/>
                <w:szCs w:val="24"/>
                <w:lang w:val="en-US" w:eastAsia="zh-CN"/>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9"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cs="宋体"/>
                <w:b w:val="0"/>
                <w:bCs/>
                <w:color w:val="000000" w:themeColor="text1"/>
                <w:sz w:val="24"/>
                <w:szCs w:val="24"/>
                <w:lang w:val="en-US" w:eastAsia="zh-CN"/>
                <w14:textFill>
                  <w14:solidFill>
                    <w14:schemeClr w14:val="tx1"/>
                  </w14:solidFill>
                </w14:textFill>
              </w:rPr>
              <w:t>5</w:t>
            </w:r>
          </w:p>
        </w:tc>
        <w:tc>
          <w:tcPr>
            <w:tcW w:w="1300"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功能测试</w:t>
            </w:r>
          </w:p>
        </w:tc>
        <w:tc>
          <w:tcPr>
            <w:tcW w:w="1826"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完成主体功能测试报告</w:t>
            </w:r>
          </w:p>
        </w:tc>
        <w:tc>
          <w:tcPr>
            <w:tcW w:w="1344"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宋体" w:hAnsi="宋体" w:eastAsia="宋体" w:cs="宋体"/>
                <w:b w:val="0"/>
                <w:bCs/>
                <w:color w:val="000000" w:themeColor="text1"/>
                <w:sz w:val="24"/>
                <w:szCs w:val="24"/>
                <w:lang w:val="en-US"/>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T+</w:t>
            </w:r>
            <w:r>
              <w:rPr>
                <w:rFonts w:hint="eastAsia" w:ascii="宋体" w:hAnsi="宋体" w:eastAsia="宋体" w:cs="宋体"/>
                <w:b w:val="0"/>
                <w:bCs/>
                <w:color w:val="000000" w:themeColor="text1"/>
                <w:sz w:val="24"/>
                <w:szCs w:val="24"/>
                <w:lang w:val="en-US" w:eastAsia="zh-CN"/>
                <w14:textFill>
                  <w14:solidFill>
                    <w14:schemeClr w14:val="tx1"/>
                  </w14:solidFill>
                </w14:textFill>
              </w:rPr>
              <w:t>24</w:t>
            </w:r>
            <w:r>
              <w:rPr>
                <w:rFonts w:hint="eastAsia" w:cs="宋体"/>
                <w:b w:val="0"/>
                <w:bCs/>
                <w:color w:val="000000" w:themeColor="text1"/>
                <w:sz w:val="24"/>
                <w:szCs w:val="24"/>
                <w:lang w:val="en-US"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T+</w:t>
            </w:r>
            <w:r>
              <w:rPr>
                <w:rFonts w:hint="eastAsia" w:cs="宋体"/>
                <w:b w:val="0"/>
                <w:bCs/>
                <w:color w:val="000000" w:themeColor="text1"/>
                <w:sz w:val="24"/>
                <w:szCs w:val="24"/>
                <w:lang w:val="en-US" w:eastAsia="zh-CN"/>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9"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cs="宋体"/>
                <w:b w:val="0"/>
                <w:bCs/>
                <w:color w:val="000000" w:themeColor="text1"/>
                <w:sz w:val="24"/>
                <w:szCs w:val="24"/>
                <w:lang w:val="en-US" w:eastAsia="zh-CN"/>
                <w14:textFill>
                  <w14:solidFill>
                    <w14:schemeClr w14:val="tx1"/>
                  </w14:solidFill>
                </w14:textFill>
              </w:rPr>
              <w:t>6</w:t>
            </w:r>
          </w:p>
        </w:tc>
        <w:tc>
          <w:tcPr>
            <w:tcW w:w="1300"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部署上线</w:t>
            </w:r>
          </w:p>
        </w:tc>
        <w:tc>
          <w:tcPr>
            <w:tcW w:w="1826"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完成系统上线总结</w:t>
            </w:r>
          </w:p>
        </w:tc>
        <w:tc>
          <w:tcPr>
            <w:tcW w:w="1344"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宋体" w:hAnsi="宋体" w:eastAsia="宋体" w:cs="宋体"/>
                <w:b w:val="0"/>
                <w:bCs/>
                <w:color w:val="000000" w:themeColor="text1"/>
                <w:sz w:val="24"/>
                <w:szCs w:val="24"/>
                <w:lang w:val="en-US"/>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T+</w:t>
            </w:r>
            <w:r>
              <w:rPr>
                <w:rFonts w:hint="eastAsia" w:ascii="宋体" w:hAnsi="宋体" w:eastAsia="宋体" w:cs="宋体"/>
                <w:b w:val="0"/>
                <w:bCs/>
                <w:color w:val="000000" w:themeColor="text1"/>
                <w:sz w:val="24"/>
                <w:szCs w:val="24"/>
                <w:lang w:val="en-US" w:eastAsia="zh-CN"/>
                <w14:textFill>
                  <w14:solidFill>
                    <w14:schemeClr w14:val="tx1"/>
                  </w14:solidFill>
                </w14:textFill>
              </w:rPr>
              <w:t>27</w:t>
            </w:r>
            <w:r>
              <w:rPr>
                <w:rFonts w:hint="eastAsia" w:cs="宋体"/>
                <w:b w:val="0"/>
                <w:bCs/>
                <w:color w:val="000000" w:themeColor="text1"/>
                <w:sz w:val="24"/>
                <w:szCs w:val="24"/>
                <w:lang w:val="en-US"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T+</w:t>
            </w:r>
            <w:r>
              <w:rPr>
                <w:rFonts w:hint="eastAsia" w:cs="宋体"/>
                <w:b w:val="0"/>
                <w:bCs/>
                <w:color w:val="000000" w:themeColor="text1"/>
                <w:sz w:val="24"/>
                <w:szCs w:val="24"/>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9"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cs="宋体"/>
                <w:b w:val="0"/>
                <w:bCs/>
                <w:color w:val="000000" w:themeColor="text1"/>
                <w:sz w:val="24"/>
                <w:szCs w:val="24"/>
                <w:lang w:val="en-US" w:eastAsia="zh-CN"/>
                <w14:textFill>
                  <w14:solidFill>
                    <w14:schemeClr w14:val="tx1"/>
                  </w14:solidFill>
                </w14:textFill>
              </w:rPr>
              <w:t>7</w:t>
            </w:r>
          </w:p>
        </w:tc>
        <w:tc>
          <w:tcPr>
            <w:tcW w:w="1300"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服务系统</w:t>
            </w:r>
            <w:r>
              <w:rPr>
                <w:rFonts w:hint="eastAsia" w:cs="宋体"/>
                <w:b w:val="0"/>
                <w:bCs/>
                <w:color w:val="000000" w:themeColor="text1"/>
                <w:sz w:val="24"/>
                <w:szCs w:val="24"/>
                <w:lang w:val="en-US" w:eastAsia="zh-CN"/>
                <w14:textFill>
                  <w14:solidFill>
                    <w14:schemeClr w14:val="tx1"/>
                  </w14:solidFill>
                </w14:textFill>
              </w:rPr>
              <w:t>试运行</w:t>
            </w:r>
          </w:p>
        </w:tc>
        <w:tc>
          <w:tcPr>
            <w:tcW w:w="1826"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系统</w:t>
            </w:r>
            <w:r>
              <w:rPr>
                <w:rFonts w:hint="eastAsia" w:cs="宋体"/>
                <w:b w:val="0"/>
                <w:bCs/>
                <w:color w:val="000000" w:themeColor="text1"/>
                <w:sz w:val="24"/>
                <w:szCs w:val="24"/>
                <w:lang w:val="en-US" w:eastAsia="zh-CN"/>
                <w14:textFill>
                  <w14:solidFill>
                    <w14:schemeClr w14:val="tx1"/>
                  </w14:solidFill>
                </w14:textFill>
              </w:rPr>
              <w:t>试运行</w:t>
            </w:r>
          </w:p>
        </w:tc>
        <w:tc>
          <w:tcPr>
            <w:tcW w:w="1344"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T+</w:t>
            </w:r>
            <w:r>
              <w:rPr>
                <w:rFonts w:hint="eastAsia" w:ascii="宋体" w:hAnsi="宋体" w:eastAsia="宋体" w:cs="宋体"/>
                <w:b w:val="0"/>
                <w:bCs/>
                <w:color w:val="000000" w:themeColor="text1"/>
                <w:sz w:val="24"/>
                <w:szCs w:val="24"/>
                <w:lang w:val="en-US" w:eastAsia="zh-CN"/>
                <w14:textFill>
                  <w14:solidFill>
                    <w14:schemeClr w14:val="tx1"/>
                  </w14:solidFill>
                </w14:textFill>
              </w:rPr>
              <w:t>31</w:t>
            </w:r>
            <w:r>
              <w:rPr>
                <w:rFonts w:hint="eastAsia" w:cs="宋体"/>
                <w:b w:val="0"/>
                <w:bCs/>
                <w:color w:val="000000" w:themeColor="text1"/>
                <w:sz w:val="24"/>
                <w:szCs w:val="24"/>
                <w:lang w:val="en-US"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T+</w:t>
            </w:r>
            <w:r>
              <w:rPr>
                <w:rFonts w:hint="eastAsia" w:cs="宋体"/>
                <w:b w:val="0"/>
                <w:bCs/>
                <w:color w:val="000000" w:themeColor="text1"/>
                <w:sz w:val="24"/>
                <w:szCs w:val="24"/>
                <w:lang w:val="en-US" w:eastAsia="zh-CN"/>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9"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cs="宋体"/>
                <w:b w:val="0"/>
                <w:bCs/>
                <w:color w:val="000000" w:themeColor="text1"/>
                <w:sz w:val="24"/>
                <w:szCs w:val="24"/>
                <w:lang w:val="en-US" w:eastAsia="zh-CN"/>
                <w14:textFill>
                  <w14:solidFill>
                    <w14:schemeClr w14:val="tx1"/>
                  </w14:solidFill>
                </w14:textFill>
              </w:rPr>
              <w:t>8</w:t>
            </w:r>
          </w:p>
        </w:tc>
        <w:tc>
          <w:tcPr>
            <w:tcW w:w="1300"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服务交付</w:t>
            </w:r>
          </w:p>
        </w:tc>
        <w:tc>
          <w:tcPr>
            <w:tcW w:w="1826"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系统交付</w:t>
            </w:r>
          </w:p>
        </w:tc>
        <w:tc>
          <w:tcPr>
            <w:tcW w:w="1344" w:type="pct"/>
            <w:shd w:val="clear" w:color="auto" w:fill="FFFFFF"/>
            <w:vAlign w:val="center"/>
          </w:tcPr>
          <w:p>
            <w:pPr>
              <w:pStyle w:val="1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T+</w:t>
            </w:r>
            <w:r>
              <w:rPr>
                <w:rFonts w:hint="eastAsia" w:cs="宋体"/>
                <w:b w:val="0"/>
                <w:bCs/>
                <w:color w:val="000000" w:themeColor="text1"/>
                <w:sz w:val="24"/>
                <w:szCs w:val="24"/>
                <w:lang w:val="en-US" w:eastAsia="zh-CN"/>
                <w14:textFill>
                  <w14:solidFill>
                    <w14:schemeClr w14:val="tx1"/>
                  </w14:solidFill>
                </w14:textFill>
              </w:rPr>
              <w:t>61</w:t>
            </w:r>
          </w:p>
        </w:tc>
      </w:tr>
      <w:bookmarkEnd w:id="318"/>
    </w:tbl>
    <w:p>
      <w:pPr>
        <w:spacing w:line="360" w:lineRule="auto"/>
        <w:ind w:firstLine="480"/>
        <w:rPr>
          <w:rFonts w:hint="eastAsia"/>
        </w:rPr>
      </w:pPr>
      <w:r>
        <w:rPr>
          <w:rFonts w:hint="eastAsia"/>
        </w:rPr>
        <w:t>按照项目对进度的总体要求，确定项目工作清单中各任务的日程安排，并留有适当余地以处理不可预知的情况，进度控制以日程安排为依据，通过例行会议等手段进行项目进程状态汇总、审计和督导，并考虑项目各阶段在具体实施过程中可采取迭代的策略，分梯度或同时进行，合理安排。</w:t>
      </w:r>
    </w:p>
    <w:p>
      <w:pPr>
        <w:pStyle w:val="4"/>
        <w:rPr>
          <w:rFonts w:hint="eastAsia"/>
          <w:color w:val="000000" w:themeColor="text1"/>
          <w14:textFill>
            <w14:solidFill>
              <w14:schemeClr w14:val="tx1"/>
            </w14:solidFill>
          </w14:textFill>
        </w:rPr>
      </w:pPr>
      <w:bookmarkStart w:id="321" w:name="_Toc8188"/>
      <w:bookmarkStart w:id="322" w:name="_Toc79310353"/>
      <w:r>
        <w:rPr>
          <w:rFonts w:hint="eastAsia"/>
          <w:color w:val="000000" w:themeColor="text1"/>
          <w14:textFill>
            <w14:solidFill>
              <w14:schemeClr w14:val="tx1"/>
            </w14:solidFill>
          </w14:textFill>
        </w:rPr>
        <w:t>项目管理团队建设及责任分工</w:t>
      </w:r>
      <w:bookmarkEnd w:id="321"/>
      <w:bookmarkEnd w:id="322"/>
    </w:p>
    <w:p>
      <w:pPr>
        <w:pStyle w:val="5"/>
        <w:bidi w:val="0"/>
        <w:rPr>
          <w:rFonts w:hint="eastAsia" w:cs="宋体"/>
          <w:lang w:val="en-US" w:eastAsia="zh-CN"/>
        </w:rPr>
      </w:pPr>
      <w:bookmarkStart w:id="323" w:name="_Toc2423"/>
      <w:r>
        <w:rPr>
          <w:rFonts w:hint="eastAsia" w:cs="宋体"/>
          <w:lang w:val="en-US" w:eastAsia="zh-CN"/>
        </w:rPr>
        <w:fldChar w:fldCharType="begin"/>
      </w:r>
      <w:r>
        <w:rPr>
          <w:rFonts w:hint="eastAsia" w:cs="宋体"/>
          <w:lang w:val="en-US" w:eastAsia="zh-CN"/>
        </w:rPr>
        <w:instrText xml:space="preserve">HYPERLINK  \l "_Toc97713164"</w:instrText>
      </w:r>
      <w:r>
        <w:rPr>
          <w:rFonts w:hint="eastAsia" w:cs="宋体"/>
          <w:lang w:val="en-US" w:eastAsia="zh-CN"/>
        </w:rPr>
        <w:fldChar w:fldCharType="separate"/>
      </w:r>
      <w:bookmarkStart w:id="324" w:name="_Toc531209326"/>
      <w:bookmarkStart w:id="325" w:name="_Toc60255008"/>
      <w:bookmarkStart w:id="326" w:name="_Toc14246540"/>
      <w:bookmarkStart w:id="327" w:name="_Toc437890622"/>
      <w:bookmarkStart w:id="328" w:name="_Toc9202609"/>
      <w:bookmarkStart w:id="329" w:name="_Toc39051478"/>
      <w:bookmarkStart w:id="330" w:name="_Toc38980018"/>
      <w:r>
        <w:rPr>
          <w:rFonts w:hint="eastAsia" w:cs="宋体"/>
          <w:lang w:val="en-US" w:eastAsia="zh-CN"/>
        </w:rPr>
        <w:t>项目管理的组织机构设计</w:t>
      </w:r>
      <w:r>
        <w:rPr>
          <w:rFonts w:hint="eastAsia" w:cs="宋体"/>
          <w:lang w:val="en-US" w:eastAsia="zh-CN"/>
        </w:rPr>
        <w:fldChar w:fldCharType="end"/>
      </w:r>
      <w:bookmarkEnd w:id="323"/>
      <w:bookmarkEnd w:id="324"/>
      <w:bookmarkEnd w:id="325"/>
      <w:bookmarkEnd w:id="326"/>
      <w:bookmarkEnd w:id="327"/>
      <w:bookmarkEnd w:id="328"/>
      <w:bookmarkEnd w:id="329"/>
      <w:bookmarkEnd w:id="330"/>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本项目由</w:t>
      </w:r>
      <w:r>
        <w:rPr>
          <w:rFonts w:hint="eastAsia" w:ascii="宋体" w:hAnsi="宋体" w:eastAsia="宋体" w:cs="宋体"/>
          <w:sz w:val="24"/>
          <w:szCs w:val="22"/>
          <w:lang w:eastAsia="zh-CN"/>
        </w:rPr>
        <w:t>和平县工业商务和信息化局负责实施落地，</w:t>
      </w:r>
      <w:r>
        <w:rPr>
          <w:rFonts w:hint="eastAsia" w:ascii="宋体" w:hAnsi="宋体" w:eastAsia="宋体" w:cs="宋体"/>
          <w:sz w:val="24"/>
          <w:szCs w:val="22"/>
        </w:rPr>
        <w:t>和平县乡村振兴局各职能部门推广。为顺利完成项目的需求分析、设计开发和部署实施等工作，必须加强项目的组织和管理，成立项目推进小组，由主管领导总体负责，采用点面结合的原则，在全县推广，相关人员协助。</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项目组织机构主要包含项目管理机构、项目实施机构、运行维护机构、技术力量和人员配置等方面。</w:t>
      </w:r>
    </w:p>
    <w:p>
      <w:pPr>
        <w:pStyle w:val="5"/>
        <w:bidi w:val="0"/>
        <w:rPr>
          <w:rFonts w:hint="eastAsia" w:cs="宋体"/>
          <w:lang w:val="en-US" w:eastAsia="zh-CN"/>
        </w:rPr>
      </w:pPr>
      <w:bookmarkStart w:id="331" w:name="_Toc32180"/>
      <w:r>
        <w:rPr>
          <w:rFonts w:hint="eastAsia" w:cs="宋体"/>
          <w:lang w:val="en-US" w:eastAsia="zh-CN"/>
        </w:rPr>
        <w:t>项目的领导机构</w:t>
      </w:r>
      <w:bookmarkEnd w:id="331"/>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项目的领导管理机构由</w:t>
      </w:r>
      <w:r>
        <w:rPr>
          <w:rFonts w:hint="eastAsia" w:ascii="宋体" w:hAnsi="宋体" w:eastAsia="宋体" w:cs="宋体"/>
          <w:sz w:val="24"/>
          <w:szCs w:val="22"/>
          <w:lang w:eastAsia="zh-CN"/>
        </w:rPr>
        <w:t>和平县工业商务和信息化局、</w:t>
      </w:r>
      <w:r>
        <w:rPr>
          <w:rFonts w:hint="eastAsia" w:ascii="宋体" w:hAnsi="宋体" w:eastAsia="宋体" w:cs="宋体"/>
          <w:sz w:val="24"/>
          <w:szCs w:val="22"/>
        </w:rPr>
        <w:t>和平县乡村振兴局、项目承建单位、监理方共同组成，由</w:t>
      </w:r>
      <w:r>
        <w:rPr>
          <w:rFonts w:hint="eastAsia" w:ascii="宋体" w:hAnsi="宋体" w:eastAsia="宋体" w:cs="宋体"/>
          <w:sz w:val="24"/>
          <w:szCs w:val="22"/>
          <w:lang w:eastAsia="zh-CN"/>
        </w:rPr>
        <w:t>和平县工业商务和信息化</w:t>
      </w:r>
      <w:r>
        <w:rPr>
          <w:rFonts w:hint="eastAsia" w:ascii="宋体" w:hAnsi="宋体" w:eastAsia="宋体" w:cs="宋体"/>
          <w:sz w:val="24"/>
          <w:szCs w:val="22"/>
        </w:rPr>
        <w:t>局牵头，总体协调，项目承建单位负责具体项目管理工作执行。项目将在统一领导下，组织相关科室组成项目建设领导小组来负责项目建设统筹工作，各部门配合实施。</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项目领导小组是整个系统的决策机构，对涉及项目的重大问题，基本方针、政策、总体工作计划、投资预算等作决策。主要职责是统一领导、规划和组织信息管理系统及配套信息化建设，协调和决策建设中遇到的重大和关键问题，审定信息化项目的建设实施方案、技术方案、工程投资预算安排，审核工程进度报告，协调和管理信息管理系统及配套信息化建设和各相关行政部门网之间的关系，审批信息管理系统及配套信息化建设业务流程、需求和详细设计。</w:t>
      </w:r>
    </w:p>
    <w:p>
      <w:pPr>
        <w:pStyle w:val="5"/>
        <w:bidi w:val="0"/>
        <w:rPr>
          <w:rFonts w:hint="eastAsia" w:cs="宋体"/>
          <w:lang w:val="en-US" w:eastAsia="zh-CN"/>
        </w:rPr>
      </w:pPr>
      <w:bookmarkStart w:id="332" w:name="_Toc23520"/>
      <w:r>
        <w:rPr>
          <w:rFonts w:hint="eastAsia" w:cs="宋体"/>
          <w:lang w:val="en-US" w:eastAsia="zh-CN"/>
        </w:rPr>
        <w:t>项目实施机构</w:t>
      </w:r>
      <w:bookmarkEnd w:id="332"/>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项目实施机构由和平县工业商务和信息化局</w:t>
      </w:r>
      <w:r>
        <w:rPr>
          <w:rFonts w:hint="eastAsia" w:ascii="宋体" w:hAnsi="宋体" w:eastAsia="宋体" w:cs="宋体"/>
          <w:sz w:val="24"/>
          <w:szCs w:val="22"/>
          <w:lang w:eastAsia="zh-CN"/>
        </w:rPr>
        <w:t>、</w:t>
      </w:r>
      <w:r>
        <w:rPr>
          <w:rFonts w:hint="eastAsia" w:ascii="宋体" w:hAnsi="宋体" w:eastAsia="宋体" w:cs="宋体"/>
          <w:sz w:val="24"/>
          <w:szCs w:val="22"/>
        </w:rPr>
        <w:t>和平县乡村振兴局组成。项目由项目使用单位牵头，各部门按职责分工配合项目实施，项目服务单位负责具体建设与实施工作。</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在项目具体实施工作中首先开展如下工作：</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设立项目实施领导小组，下设工作组（工作办公室）。工作组制定工作制度，具体协调、督促项目实施工作，进行日常管理，保证平台各子系统实施单位按时高质量完成建设工作，并组织项目验收。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设立项目实施团队，下设项目管理组、软件开发组、质量组、文档组等工作组别。工作组制定工作制度，分工具体负责项目的各项工程采购、平台应用软件开发、决策支持体系构建与实施、网络规划与应用部署、质量保证、文档编制等实施工作，按照项目管理工作要求，保证按时高质量完成项目建设工作，并参与项目交付验收。</w:t>
      </w:r>
    </w:p>
    <w:p>
      <w:pPr>
        <w:pStyle w:val="5"/>
        <w:bidi w:val="0"/>
        <w:rPr>
          <w:rFonts w:hint="eastAsia" w:cs="宋体"/>
          <w:lang w:val="en-US" w:eastAsia="zh-CN"/>
        </w:rPr>
      </w:pPr>
      <w:bookmarkStart w:id="333" w:name="_Toc27102"/>
      <w:bookmarkStart w:id="334" w:name="_Toc2989"/>
      <w:r>
        <w:rPr>
          <w:rFonts w:hint="eastAsia" w:cs="宋体"/>
          <w:lang w:val="en-US" w:eastAsia="zh-CN"/>
        </w:rPr>
        <w:t>运行维护机构</w:t>
      </w:r>
      <w:bookmarkEnd w:id="333"/>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sz w:val="24"/>
          <w:szCs w:val="22"/>
        </w:rPr>
        <w:t>成立项目运行维护管理组织，建设和完善本期项目的服务与运维相关体系。在和平县乡村振兴局统一领导下，和平县乡村振兴局统一组织和协调，监督检查相关管理制度执行情况，协调与政府其他信息系统的联系。项目承建单位成立系统运行维护组，负责各自的系统运行和维护。和平县乡村振兴局信息化建设小组负责</w:t>
      </w:r>
      <w:r>
        <w:rPr>
          <w:rFonts w:hint="eastAsia" w:ascii="宋体" w:hAnsi="宋体" w:eastAsia="宋体" w:cs="宋体"/>
          <w:sz w:val="24"/>
          <w:szCs w:val="22"/>
          <w:lang w:eastAsia="zh-CN"/>
        </w:rPr>
        <w:t>平台</w:t>
      </w:r>
      <w:r>
        <w:rPr>
          <w:rFonts w:hint="eastAsia" w:ascii="宋体" w:hAnsi="宋体" w:eastAsia="宋体" w:cs="宋体"/>
          <w:sz w:val="24"/>
          <w:szCs w:val="22"/>
        </w:rPr>
        <w:t>业务系统的运行维护，保障本级系统资源的安全、完整和有效利用，进</w:t>
      </w:r>
      <w:r>
        <w:rPr>
          <w:rFonts w:hint="eastAsia" w:ascii="宋体" w:hAnsi="宋体" w:eastAsia="宋体" w:cs="宋体"/>
          <w:color w:val="000000" w:themeColor="text1"/>
          <w:sz w:val="24"/>
          <w:szCs w:val="32"/>
          <w14:textFill>
            <w14:solidFill>
              <w14:schemeClr w14:val="tx1"/>
            </w14:solidFill>
          </w14:textFill>
        </w:rPr>
        <w:t>行数据备份，在系统遭到破坏时及时恢复或启动备份系统，确保系统正常运行；负责网络中心计算机及相关设备的正常运行和维护；负责组织应用软件的升级、后续开发和培训工作及管理制度的实施。建立科学、严格的系统日常管理与维护规章制度，规范系统管理。明确分工，责任到人，将系统日常运行情况与维护人员的岗位考评挂钩，并根据应用部门的反馈考核维护人员。</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运行维护管理工作由</w:t>
      </w:r>
      <w:r>
        <w:rPr>
          <w:rFonts w:hint="eastAsia" w:ascii="宋体" w:hAnsi="宋体" w:eastAsia="宋体" w:cs="宋体"/>
          <w:color w:val="000000" w:themeColor="text1"/>
          <w:sz w:val="24"/>
          <w:szCs w:val="32"/>
          <w:lang w:eastAsia="zh-CN"/>
          <w14:textFill>
            <w14:solidFill>
              <w14:schemeClr w14:val="tx1"/>
            </w14:solidFill>
          </w14:textFill>
        </w:rPr>
        <w:t>业主单位</w:t>
      </w:r>
      <w:r>
        <w:rPr>
          <w:rFonts w:hint="eastAsia" w:ascii="宋体" w:hAnsi="宋体" w:eastAsia="宋体" w:cs="宋体"/>
          <w:color w:val="000000" w:themeColor="text1"/>
          <w:sz w:val="24"/>
          <w:szCs w:val="32"/>
          <w14:textFill>
            <w14:solidFill>
              <w14:schemeClr w14:val="tx1"/>
            </w14:solidFill>
          </w14:textFill>
        </w:rPr>
        <w:t>指导，项目承建单位负责。项目承建单位负责平台基础设施和应用软件系统的运行、维护与管理，具体如下：</w:t>
      </w:r>
    </w:p>
    <w:p>
      <w:pPr>
        <w:pStyle w:val="2"/>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负责平台各应用子系统日常运行使用；</w:t>
      </w:r>
    </w:p>
    <w:p>
      <w:pPr>
        <w:pStyle w:val="2"/>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负责平台数据库、应用系统、门户网站等运行维护；</w:t>
      </w:r>
    </w:p>
    <w:p>
      <w:pPr>
        <w:pStyle w:val="2"/>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负责平台服务器（虚拟机）、存储系统（云存储）的运行维护；</w:t>
      </w:r>
    </w:p>
    <w:p>
      <w:pPr>
        <w:pStyle w:val="2"/>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0"/>
        <w:textAlignment w:val="auto"/>
        <w:rPr>
          <w:rFonts w:ascii="宋体" w:hAnsi="宋体" w:cs="宋体"/>
        </w:rPr>
      </w:pPr>
      <w:r>
        <w:rPr>
          <w:rFonts w:hint="eastAsia" w:ascii="宋体" w:hAnsi="宋体" w:eastAsia="宋体" w:cs="宋体"/>
          <w:color w:val="000000" w:themeColor="text1"/>
          <w:sz w:val="24"/>
          <w:szCs w:val="32"/>
          <w14:textFill>
            <w14:solidFill>
              <w14:schemeClr w14:val="tx1"/>
            </w14:solidFill>
          </w14:textFill>
        </w:rPr>
        <w:t>负责平台数据备份的维护管理。</w:t>
      </w:r>
    </w:p>
    <w:p>
      <w:pPr>
        <w:pStyle w:val="4"/>
        <w:rPr>
          <w:rFonts w:hint="default"/>
          <w:color w:val="000000" w:themeColor="text1"/>
          <w:lang w:val="en-US" w:eastAsia="zh-CN"/>
          <w14:textFill>
            <w14:solidFill>
              <w14:schemeClr w14:val="tx1"/>
            </w14:solidFill>
          </w14:textFill>
        </w:rPr>
      </w:pPr>
      <w:bookmarkStart w:id="335" w:name="_Toc31437"/>
      <w:r>
        <w:rPr>
          <w:rFonts w:hint="eastAsia"/>
          <w:color w:val="000000" w:themeColor="text1"/>
          <w:lang w:val="en-US" w:eastAsia="zh-CN"/>
          <w14:textFill>
            <w14:solidFill>
              <w14:schemeClr w14:val="tx1"/>
            </w14:solidFill>
          </w14:textFill>
        </w:rPr>
        <w:t>项目验收</w:t>
      </w:r>
      <w:bookmarkEnd w:id="335"/>
    </w:p>
    <w:p>
      <w:pPr>
        <w:pStyle w:val="5"/>
        <w:tabs>
          <w:tab w:val="left" w:pos="360"/>
          <w:tab w:val="clear" w:pos="720"/>
        </w:tabs>
        <w:spacing w:line="360" w:lineRule="auto"/>
        <w:ind w:left="1134" w:hanging="1134"/>
        <w:rPr>
          <w:rFonts w:hint="eastAsia"/>
          <w:color w:val="000000"/>
          <w:sz w:val="24"/>
          <w:szCs w:val="24"/>
        </w:rPr>
      </w:pPr>
      <w:bookmarkStart w:id="336" w:name="_Toc14837"/>
      <w:r>
        <w:rPr>
          <w:rFonts w:hint="eastAsia"/>
          <w:color w:val="000000"/>
          <w:sz w:val="24"/>
          <w:szCs w:val="24"/>
        </w:rPr>
        <w:t>验收内容</w:t>
      </w:r>
      <w:bookmarkEnd w:id="334"/>
      <w:bookmarkEnd w:id="336"/>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为保证本次管理信息系统最终成果能够达到升级建设目的，满足用户的建设需求，本次项目采用承建单位内部评审与项目建设方验收相结合的验收方式，切实保障项目建设软件系统建设成果的高质量、高标准、规范性要求。</w:t>
      </w:r>
    </w:p>
    <w:p>
      <w:pPr>
        <w:pStyle w:val="5"/>
        <w:tabs>
          <w:tab w:val="left" w:pos="360"/>
          <w:tab w:val="clear" w:pos="720"/>
        </w:tabs>
        <w:spacing w:line="360" w:lineRule="auto"/>
        <w:ind w:left="1134" w:hanging="1134"/>
        <w:rPr>
          <w:rFonts w:hint="eastAsia"/>
          <w:color w:val="000000"/>
          <w:sz w:val="24"/>
          <w:szCs w:val="24"/>
        </w:rPr>
      </w:pPr>
      <w:bookmarkStart w:id="337" w:name="_Toc31405"/>
      <w:bookmarkStart w:id="338" w:name="_Toc32398"/>
      <w:r>
        <w:rPr>
          <w:rFonts w:hint="eastAsia"/>
          <w:color w:val="000000"/>
          <w:sz w:val="24"/>
          <w:szCs w:val="24"/>
        </w:rPr>
        <w:t>承建单位内部评审验收</w:t>
      </w:r>
      <w:bookmarkEnd w:id="337"/>
      <w:bookmarkEnd w:id="338"/>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依据软件开发的流程，在软件开发的周期中，进行以下环节的评审与验收：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项目计划评审</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由承建单位技术管理部门组织，召集相关人员，依据项目建设方案规划，对整个项目建设的可行性、建设周期、功能描述等内容评审与验收。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b/>
          <w:bCs/>
          <w:color w:val="000000" w:themeColor="text1"/>
          <w:sz w:val="24"/>
          <w:szCs w:val="32"/>
          <w14:textFill>
            <w14:solidFill>
              <w14:schemeClr w14:val="tx1"/>
            </w14:solidFill>
          </w14:textFill>
        </w:rPr>
        <w:t>软件功能评审</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在对软件的需求进行详细调研之后提交系统《系统总体设计方案》、《功能模块技术设计详细说明及技术手册》，由软件质量保证小组组织评审会议，对《系统总体设计方案》、《功能模块技术设计详细说明及技术手册》的正确性、符合性和有效性进行评审。</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物理配置验收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在软件开发完成之后，通过测试结果核实软件，并按本计划要求核实软件其文档是否完整，已确定系统可以交付。</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b/>
          <w:bCs/>
          <w:color w:val="000000" w:themeColor="text1"/>
          <w:sz w:val="24"/>
          <w:szCs w:val="32"/>
          <w14:textFill>
            <w14:solidFill>
              <w14:schemeClr w14:val="tx1"/>
            </w14:solidFill>
          </w14:textFill>
        </w:rPr>
        <w:t>事后检查评审</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在上述审核结果中如果出现不通过的情况，在按意见改正之后需要对修改后的内容进行，并重新进行评审。</w:t>
      </w:r>
    </w:p>
    <w:p>
      <w:pPr>
        <w:pStyle w:val="5"/>
        <w:tabs>
          <w:tab w:val="left" w:pos="360"/>
          <w:tab w:val="clear" w:pos="720"/>
        </w:tabs>
        <w:spacing w:line="360" w:lineRule="auto"/>
        <w:ind w:left="1134" w:hanging="1134"/>
        <w:rPr>
          <w:rFonts w:hint="eastAsia"/>
          <w:color w:val="000000"/>
          <w:sz w:val="24"/>
          <w:szCs w:val="24"/>
        </w:rPr>
      </w:pPr>
      <w:bookmarkStart w:id="339" w:name="_Toc25283"/>
      <w:bookmarkStart w:id="340" w:name="_Toc19622"/>
      <w:r>
        <w:rPr>
          <w:rFonts w:hint="eastAsia"/>
          <w:color w:val="000000"/>
          <w:sz w:val="24"/>
          <w:szCs w:val="24"/>
        </w:rPr>
        <w:t>项目建设方验收</w:t>
      </w:r>
      <w:bookmarkEnd w:id="339"/>
      <w:bookmarkEnd w:id="340"/>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本系统测试和验收包括2个阶段：初步验收和最终验收。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b/>
          <w:bCs/>
          <w:color w:val="000000" w:themeColor="text1"/>
          <w:sz w:val="24"/>
          <w:szCs w:val="32"/>
          <w14:textFill>
            <w14:solidFill>
              <w14:schemeClr w14:val="tx1"/>
            </w14:solidFill>
          </w14:textFill>
        </w:rPr>
        <w:t>初步验收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开发方根据所提交的验收方案和实施办法，组织设备和人员，并在使用单位、监理单位及上级主管部门监查下现场进行测试和验收。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开发方在项目初步验收时将需求分析说明书、系统总体设计说明书、数据处理及规整建库标准、系统测试验收方案、数据库安装手册、系统程序安装维护手册、软件使用操作手册、软件功能技术手册、系统测试报告及其他与本系统开发相关的各类文档资料和系统可编译、可维护源代码交付建设方。</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最终验收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开发方应根据所提交的验收方案和实施办法，组织人员及使用招标人现场设备及实际数据，按工作实际情况并在使用单位、监理单位及上级主管部门监查下现场进行测试和验收。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开发方应负责在项目最终验收时将系统从合同签定之日起所有关于本项目的文档资料（在初步验收基础上，包括初步验收文档的版本更新和试运行期产生的文档）交付建设方。</w:t>
      </w:r>
    </w:p>
    <w:p>
      <w:pPr>
        <w:pStyle w:val="5"/>
        <w:tabs>
          <w:tab w:val="left" w:pos="360"/>
          <w:tab w:val="clear" w:pos="720"/>
        </w:tabs>
        <w:spacing w:line="360" w:lineRule="auto"/>
        <w:ind w:left="1134" w:hanging="1134"/>
        <w:rPr>
          <w:rFonts w:hint="eastAsia"/>
          <w:color w:val="000000"/>
          <w:sz w:val="24"/>
          <w:szCs w:val="24"/>
        </w:rPr>
      </w:pPr>
      <w:bookmarkStart w:id="341" w:name="_Toc2302"/>
      <w:bookmarkStart w:id="342" w:name="_Toc14232"/>
      <w:r>
        <w:rPr>
          <w:rFonts w:hint="eastAsia"/>
          <w:color w:val="000000"/>
          <w:sz w:val="24"/>
          <w:szCs w:val="24"/>
        </w:rPr>
        <w:t>验收标准</w:t>
      </w:r>
      <w:bookmarkEnd w:id="341"/>
      <w:bookmarkEnd w:id="342"/>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系统验收标准主要满足系统要求的项目建设的几个原则：系统的实用性、可扩展性、兼容性、规范性、安全性、稳定性、先进性、系统性、可维护性、灵活性、易用性、应用的可延续性、系统可靠性及规范的系统文档、代码、规范及注释说明等。</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ab/>
      </w:r>
      <w:r>
        <w:rPr>
          <w:rFonts w:hint="eastAsia" w:ascii="宋体" w:hAnsi="宋体" w:eastAsia="宋体" w:cs="宋体"/>
          <w:b/>
          <w:bCs/>
          <w:color w:val="000000" w:themeColor="text1"/>
          <w:sz w:val="24"/>
          <w:szCs w:val="32"/>
          <w14:textFill>
            <w14:solidFill>
              <w14:schemeClr w14:val="tx1"/>
            </w14:solidFill>
          </w14:textFill>
        </w:rPr>
        <w:t>系统实用性</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作为一个应用系统，实用性是直接影响系统的运行效果和生命力的最重要因素，也是一个严谨的系统开发者要无条件遵循的原则。</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 xml:space="preserve"> 因此，实用性是项目验收最关键的指标，检查系统是否符合当前业务的需要，特别是业务流的整体性和数据流的一致性，并前瞻性提供未来业务接口。将按照《系统需求分析报告》、《系统总体设计说明书》提供的功能验收内容进行实际验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ab/>
      </w:r>
      <w:r>
        <w:rPr>
          <w:rFonts w:hint="eastAsia" w:ascii="宋体" w:hAnsi="宋体" w:eastAsia="宋体" w:cs="宋体"/>
          <w:b/>
          <w:bCs/>
          <w:color w:val="000000" w:themeColor="text1"/>
          <w:sz w:val="24"/>
          <w:szCs w:val="32"/>
          <w14:textFill>
            <w14:solidFill>
              <w14:schemeClr w14:val="tx1"/>
            </w14:solidFill>
          </w14:textFill>
        </w:rPr>
        <w:t>系统可扩展性</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系统是否采用目前先进的开发技术和架构（基于组件或面向服务的架构），以保证平台的先进性和可扩展性、延长平台的生命周期。</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为满足今后系统应用范围扩充的需求，系统是否充分考虑了结构、功能、管理对象等方面的扩展。</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系统是否支持软硬件平台的扩展和升级不影响系统的应用。</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b/>
          <w:bCs/>
          <w:color w:val="000000" w:themeColor="text1"/>
          <w:sz w:val="24"/>
          <w:szCs w:val="32"/>
          <w14:textFill>
            <w14:solidFill>
              <w14:schemeClr w14:val="tx1"/>
            </w14:solidFill>
          </w14:textFill>
        </w:rPr>
        <w:t>系统兼容性</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系统模型和数据格式是否支持子功能部件的快速集成，确保了应用系统具有良好的互操作性和可移植性。</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系统设计和实现过程中需要实现与上下级数据交换标准与接口等功能。需要集成原有系统的功能</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b/>
          <w:bCs/>
          <w:color w:val="000000" w:themeColor="text1"/>
          <w:sz w:val="24"/>
          <w:szCs w:val="32"/>
          <w14:textFill>
            <w14:solidFill>
              <w14:schemeClr w14:val="tx1"/>
            </w14:solidFill>
          </w14:textFill>
        </w:rPr>
        <w:t>系统规范性</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需要确保系统编程采用标准的编码规范，具备完善的文档以及良好的注释说明。应设计标准的信息分类编码体系；建立统一、规范的系统数据库数据字典；</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建立符合国家标准要求的图示符号系统；设计统一的设计风格、界面风格和操作模式；建立开放式、标准化的数据输入、输出界面。</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b/>
          <w:bCs/>
          <w:color w:val="000000" w:themeColor="text1"/>
          <w:sz w:val="24"/>
          <w:szCs w:val="32"/>
          <w14:textFill>
            <w14:solidFill>
              <w14:schemeClr w14:val="tx1"/>
            </w14:solidFill>
          </w14:textFill>
        </w:rPr>
        <w:t>系统安全性</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系统外部安全：系统的安全性要充分考虑网络的高级别、多层次的安全防护措施，包括备份系统、防火墙和权限设置等措施，考虑系统出现故障时的软硬件恢复等急救措施，以保障网络安全性和处理机安全性。系统要形成相对独立的安全机制，有效防止系统外部的非法访问。</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系统内部安全：在保证系统外部安全的同时，系统也要确保授权用户的合法使用。系统本身也应该具有容错功能，包括出错提示、原因，并能自动或通过人工操作，使出错的系统恢复到正常状态。系统还应提供严格的操作控制和存取控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系统运行安全：在逻辑上，系统应该具有抵御对系统的非法入侵的能力；在物理上，系统应保证不存在可能的单点故障，提供资源数据的备份能力。系统支持定期的自动数据备份和手工进行数据备份，能够在数据毁坏、丢失等情况下将备份数据倒回，实现一定的数据恢复。</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系统稳定性</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确保系统较高的性能和较低的故障率。系统建成后能长期运行。</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系统具有较强的系统安全性和灾难恢复能力。保证系统在提交前应该经过反复的测试，在可能的情况下，把错误减少到最少的程度，保证系统的长期的正常运转；另一方面，系统必须有足够的健壮性，在发生意外的软、硬件故障等情况下，能够很好的处理并给出错误报告。减少不必要的损失。</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系统先进性</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系统是否采用目前先进的开发技术和架构（基于组件或面向服务的架构），以保证平台的先进性和可扩展性、延长平台的生命周期。如应用门户技术提供个性化和适应性接口；应用工作流技术实现电子政务业务处理和协同办公；应用跨平台数据、信息交换技术实现信息共享；应用多媒体文档存储及管理技术实现文档数据库管理；应用全文检索技术高效率的获取所需要的信息等。</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ab/>
      </w:r>
      <w:r>
        <w:rPr>
          <w:rFonts w:hint="eastAsia" w:ascii="宋体" w:hAnsi="宋体" w:eastAsia="宋体" w:cs="宋体"/>
          <w:b/>
          <w:bCs/>
          <w:color w:val="000000" w:themeColor="text1"/>
          <w:sz w:val="24"/>
          <w:szCs w:val="32"/>
          <w14:textFill>
            <w14:solidFill>
              <w14:schemeClr w14:val="tx1"/>
            </w14:solidFill>
          </w14:textFill>
        </w:rPr>
        <w:t>系统可维护性</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包含应用系统软件管理与维护、数据库管理与维护以及数据库备份等。</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维护方式：系统提供对系统自身的集中操作维护的功能，真正做到使系统能在数据损坏、丢失等情况下将备份数据倒回，实现数据恢复。</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维护工作量：系统提供集中的、智能化的维护工具，尽可能减少手工维护工作量，确保系统的正常运行。</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对应用软件和GIS基础软件进行定期或不定期升级，提出具体的实施办法，当进行版本升级时，提供版本差异的详细说明，并提供在不影响现有业务工作基础上的自动升级功能。</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性能验收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根据用户认可的《系统总体设计说明书》确定的性能要求进行验收，保证重要操作的最低响应时间。</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系统是否能支持大规模应用：确保支持在多用户、大数据量（海量空间数据）、多应用系统环境下正常运转。</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系统运行速度较快，各种统计分析处理和图件浏览等操作的响应时间能达到操作人员可接受的要求，不影响系统的应用和业务办公。</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易操作性</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界面设计：系统应提供美观实用、友好直观的中文图形化用户管理界面，充分考虑办公人员的习惯，方便易学、易于操作，含全菜单式处理和各种快捷键操作。系统应以图形化的方式提供各种操作手段，充分发挥GIS以图形面对用户的特点，信息的表现方式更直观，效率更高，摆脱过去那种面对大量枯燥的表格、文字信息进行数据挖掘的状况。系统应提供即时在线联机帮助功能，随时对于操作者遇到的疑难进行解答。</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支持各种图形数据与属性数据的相互关联和直观表达，包括显示、查询、统计等。</w:t>
      </w:r>
    </w:p>
    <w:p>
      <w:pPr>
        <w:pStyle w:val="5"/>
        <w:tabs>
          <w:tab w:val="left" w:pos="360"/>
          <w:tab w:val="clear" w:pos="720"/>
        </w:tabs>
        <w:spacing w:line="360" w:lineRule="auto"/>
        <w:ind w:left="1134" w:hanging="1134"/>
        <w:rPr>
          <w:rFonts w:hint="eastAsia"/>
          <w:color w:val="000000"/>
          <w:sz w:val="24"/>
          <w:szCs w:val="24"/>
        </w:rPr>
      </w:pPr>
      <w:bookmarkStart w:id="343" w:name="_Toc11888"/>
      <w:bookmarkStart w:id="344" w:name="_Toc4459"/>
      <w:r>
        <w:rPr>
          <w:rFonts w:hint="eastAsia"/>
          <w:color w:val="000000"/>
          <w:sz w:val="24"/>
          <w:szCs w:val="24"/>
        </w:rPr>
        <w:t>验收交付成果</w:t>
      </w:r>
      <w:bookmarkEnd w:id="343"/>
      <w:bookmarkEnd w:id="344"/>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项目完成后，按照招标文件要求，需向</w:t>
      </w:r>
      <w:r>
        <w:rPr>
          <w:rFonts w:hint="eastAsia" w:eastAsia="宋体" w:cs="宋体"/>
          <w:color w:val="000000" w:themeColor="text1"/>
          <w:sz w:val="24"/>
          <w:szCs w:val="32"/>
          <w:lang w:val="en-US" w:eastAsia="zh-CN"/>
          <w14:textFill>
            <w14:solidFill>
              <w14:schemeClr w14:val="tx1"/>
            </w14:solidFill>
          </w14:textFill>
        </w:rPr>
        <w:t>建设方</w:t>
      </w:r>
      <w:r>
        <w:rPr>
          <w:rFonts w:hint="eastAsia" w:ascii="宋体" w:hAnsi="宋体" w:eastAsia="宋体" w:cs="宋体"/>
          <w:color w:val="000000" w:themeColor="text1"/>
          <w:sz w:val="24"/>
          <w:szCs w:val="32"/>
          <w14:textFill>
            <w14:solidFill>
              <w14:schemeClr w14:val="tx1"/>
            </w14:solidFill>
          </w14:textFill>
        </w:rPr>
        <w:t>提交以下项目成果：</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（1）各应用子系统及系统集成框架的安装程序，软件系统的可执行程序。</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（2）项目相关技术手册，包括：</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color w:val="000000" w:themeColor="text1"/>
          <w:sz w:val="24"/>
          <w:szCs w:val="32"/>
          <w14:textFill>
            <w14:solidFill>
              <w14:schemeClr w14:val="tx1"/>
            </w14:solidFill>
          </w14:textFill>
        </w:rPr>
        <w:t>《系统需求分析报告》；</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color w:val="000000" w:themeColor="text1"/>
          <w:sz w:val="24"/>
          <w:szCs w:val="32"/>
          <w14:textFill>
            <w14:solidFill>
              <w14:schemeClr w14:val="tx1"/>
            </w14:solidFill>
          </w14:textFill>
        </w:rPr>
        <w:t>《数据建库技术规定》；</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color w:val="000000" w:themeColor="text1"/>
          <w:sz w:val="24"/>
          <w:szCs w:val="32"/>
          <w14:textFill>
            <w14:solidFill>
              <w14:schemeClr w14:val="tx1"/>
            </w14:solidFill>
          </w14:textFill>
        </w:rPr>
        <w:t>《数据库设计手册》；</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color w:val="000000" w:themeColor="text1"/>
          <w:sz w:val="24"/>
          <w:szCs w:val="32"/>
          <w14:textFill>
            <w14:solidFill>
              <w14:schemeClr w14:val="tx1"/>
            </w14:solidFill>
          </w14:textFill>
        </w:rPr>
        <w:t>《数据入库方案设计》；</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color w:val="000000" w:themeColor="text1"/>
          <w:sz w:val="24"/>
          <w:szCs w:val="32"/>
          <w14:textFill>
            <w14:solidFill>
              <w14:schemeClr w14:val="tx1"/>
            </w14:solidFill>
          </w14:textFill>
        </w:rPr>
        <w:t>《软件系统总体设计方案》；</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color w:val="000000" w:themeColor="text1"/>
          <w:sz w:val="24"/>
          <w:szCs w:val="32"/>
          <w14:textFill>
            <w14:solidFill>
              <w14:schemeClr w14:val="tx1"/>
            </w14:solidFill>
          </w14:textFill>
        </w:rPr>
        <w:t>《软件系统详细设计方案》；</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color w:val="000000" w:themeColor="text1"/>
          <w:sz w:val="24"/>
          <w:szCs w:val="32"/>
          <w14:textFill>
            <w14:solidFill>
              <w14:schemeClr w14:val="tx1"/>
            </w14:solidFill>
          </w14:textFill>
        </w:rPr>
        <w:t>《程序安装维护手册》；</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color w:val="000000" w:themeColor="text1"/>
          <w:sz w:val="24"/>
          <w:szCs w:val="32"/>
          <w14:textFill>
            <w14:solidFill>
              <w14:schemeClr w14:val="tx1"/>
            </w14:solidFill>
          </w14:textFill>
        </w:rPr>
        <w:t>《系统使用操作手册》；</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color w:val="000000" w:themeColor="text1"/>
          <w:sz w:val="24"/>
          <w:szCs w:val="32"/>
          <w14:textFill>
            <w14:solidFill>
              <w14:schemeClr w14:val="tx1"/>
            </w14:solidFill>
          </w14:textFill>
        </w:rPr>
        <w:t>《系统测试报告》。</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color w:val="000000" w:themeColor="text1"/>
          <w:sz w:val="24"/>
          <w:szCs w:val="32"/>
          <w14:textFill>
            <w14:solidFill>
              <w14:schemeClr w14:val="tx1"/>
            </w14:solidFill>
          </w14:textFill>
        </w:rPr>
        <w:t>《工程软硬件及网络部署方案》。</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w:t>
      </w:r>
      <w:r>
        <w:rPr>
          <w:rFonts w:hint="eastAsia" w:ascii="宋体" w:hAnsi="宋体" w:eastAsia="宋体" w:cs="宋体"/>
          <w:color w:val="000000" w:themeColor="text1"/>
          <w:sz w:val="24"/>
          <w:szCs w:val="32"/>
          <w14:textFill>
            <w14:solidFill>
              <w14:schemeClr w14:val="tx1"/>
            </w14:solidFill>
          </w14:textFill>
        </w:rPr>
        <w:tab/>
      </w:r>
      <w:r>
        <w:rPr>
          <w:rFonts w:hint="eastAsia" w:ascii="宋体" w:hAnsi="宋体" w:eastAsia="宋体" w:cs="宋体"/>
          <w:color w:val="000000" w:themeColor="text1"/>
          <w:sz w:val="24"/>
          <w:szCs w:val="32"/>
          <w14:textFill>
            <w14:solidFill>
              <w14:schemeClr w14:val="tx1"/>
            </w14:solidFill>
          </w14:textFill>
        </w:rPr>
        <w:t>其它相关材料、成果或报告</w:t>
      </w:r>
    </w:p>
    <w:p>
      <w:pPr>
        <w:pStyle w:val="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color w:val="000000" w:themeColor="text1"/>
          <w:sz w:val="24"/>
          <w:szCs w:val="32"/>
          <w14:textFill>
            <w14:solidFill>
              <w14:schemeClr w14:val="tx1"/>
            </w14:solidFill>
          </w14:textFill>
        </w:rPr>
        <w:t>项目验收需经用户方认可后，与合同的技术指标一起作为验收标准，验收标准应符合中国有关的国家、地方、行业的标准。用户方对系统验收合格后，签署意见并加盖单位公章。验收中发现系统达不到验收标准或合同规定的技术指标，开发方更换和修改相应软件程序，直到验收合格为止。</w:t>
      </w:r>
    </w:p>
    <w:p>
      <w:pPr>
        <w:pStyle w:val="4"/>
        <w:bidi w:val="0"/>
      </w:pPr>
      <w:bookmarkStart w:id="345" w:name="_Toc79310356"/>
      <w:bookmarkStart w:id="346" w:name="_Toc15567"/>
      <w:r>
        <w:rPr>
          <w:rFonts w:hint="eastAsia"/>
        </w:rPr>
        <w:t>质量管理</w:t>
      </w:r>
      <w:bookmarkEnd w:id="345"/>
      <w:bookmarkEnd w:id="346"/>
    </w:p>
    <w:p>
      <w:pPr>
        <w:pStyle w:val="5"/>
        <w:bidi w:val="0"/>
      </w:pPr>
      <w:bookmarkStart w:id="347" w:name="_Toc79310357"/>
      <w:bookmarkStart w:id="348" w:name="_Toc44"/>
      <w:r>
        <w:rPr>
          <w:rFonts w:hint="eastAsia"/>
        </w:rPr>
        <w:t>项目质量保障组织</w:t>
      </w:r>
      <w:bookmarkEnd w:id="347"/>
      <w:bookmarkEnd w:id="348"/>
    </w:p>
    <w:p>
      <w:pPr>
        <w:keepNext w:val="0"/>
        <w:keepLines w:val="0"/>
        <w:pageBreakBefore w:val="0"/>
        <w:widowControl w:val="0"/>
        <w:kinsoku/>
        <w:wordWrap/>
        <w:overflowPunct/>
        <w:topLinePunct w:val="0"/>
        <w:autoSpaceDE/>
        <w:autoSpaceDN/>
        <w:bidi w:val="0"/>
        <w:adjustRightInd/>
        <w:snapToGrid/>
        <w:ind w:firstLine="480"/>
        <w:textAlignment w:val="auto"/>
      </w:pPr>
      <w:r>
        <w:rPr>
          <w:rFonts w:hint="eastAsia"/>
        </w:rPr>
        <w:t>为保证项目质量，应由项目管理机构进行项目的宏观调控、整体规划、资源的优化配置、项目风险监控、成本与进度总体控制、项目验收等。主要职责为：</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pPr>
      <w:r>
        <w:rPr>
          <w:rFonts w:hint="eastAsia"/>
        </w:rPr>
        <w:t>（1）负责根据项目的质量目标组织建立项目质量计划，并推进实施，保证其运行有效性。</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pPr>
      <w:r>
        <w:rPr>
          <w:rFonts w:hint="eastAsia"/>
        </w:rPr>
        <w:t>（2）负责针对项目特点建立项目的质量制度和规范。</w:t>
      </w:r>
    </w:p>
    <w:p>
      <w:pPr>
        <w:keepNext w:val="0"/>
        <w:keepLines w:val="0"/>
        <w:pageBreakBefore w:val="0"/>
        <w:widowControl w:val="0"/>
        <w:kinsoku/>
        <w:wordWrap/>
        <w:overflowPunct/>
        <w:topLinePunct w:val="0"/>
        <w:autoSpaceDE/>
        <w:autoSpaceDN/>
        <w:bidi w:val="0"/>
        <w:adjustRightInd/>
        <w:snapToGrid/>
        <w:textAlignment w:val="auto"/>
      </w:pPr>
      <w:r>
        <w:rPr>
          <w:rFonts w:hint="eastAsia"/>
        </w:rPr>
        <w:t>（3）负责对全体项目组进行有关项目质量目标、质量策略、质量规范的宣传与培训。</w:t>
      </w:r>
    </w:p>
    <w:p>
      <w:pPr>
        <w:keepNext w:val="0"/>
        <w:keepLines w:val="0"/>
        <w:pageBreakBefore w:val="0"/>
        <w:widowControl w:val="0"/>
        <w:kinsoku/>
        <w:wordWrap/>
        <w:overflowPunct/>
        <w:topLinePunct w:val="0"/>
        <w:autoSpaceDE/>
        <w:autoSpaceDN/>
        <w:bidi w:val="0"/>
        <w:adjustRightInd/>
        <w:snapToGrid/>
        <w:ind w:firstLine="360" w:firstLineChars="150"/>
        <w:textAlignment w:val="auto"/>
      </w:pPr>
      <w:r>
        <w:rPr>
          <w:rFonts w:hint="eastAsia"/>
        </w:rPr>
        <w:t>（4）按照项目制度与规范，跟踪监督具体项目实施的全过程，收集项目实施过程中的各种数据，制作质量记录，推进相关责任人指定质量整改措施，并跟踪整改措施的有效性。</w:t>
      </w:r>
    </w:p>
    <w:p>
      <w:pPr>
        <w:keepNext w:val="0"/>
        <w:keepLines w:val="0"/>
        <w:pageBreakBefore w:val="0"/>
        <w:widowControl w:val="0"/>
        <w:numPr>
          <w:ilvl w:val="0"/>
          <w:numId w:val="33"/>
        </w:numPr>
        <w:kinsoku/>
        <w:wordWrap/>
        <w:overflowPunct/>
        <w:topLinePunct w:val="0"/>
        <w:autoSpaceDE/>
        <w:autoSpaceDN/>
        <w:bidi w:val="0"/>
        <w:adjustRightInd/>
        <w:snapToGrid/>
        <w:textAlignment w:val="auto"/>
      </w:pPr>
      <w:r>
        <w:rPr>
          <w:rFonts w:hint="eastAsia"/>
        </w:rPr>
        <w:t>制定项目实施各阶段的质量分析报告及项目质量总结报告。</w:t>
      </w:r>
    </w:p>
    <w:p>
      <w:pPr>
        <w:keepNext w:val="0"/>
        <w:keepLines w:val="0"/>
        <w:pageBreakBefore w:val="0"/>
        <w:widowControl w:val="0"/>
        <w:numPr>
          <w:ilvl w:val="0"/>
          <w:numId w:val="33"/>
        </w:numPr>
        <w:kinsoku/>
        <w:wordWrap/>
        <w:overflowPunct/>
        <w:topLinePunct w:val="0"/>
        <w:autoSpaceDE/>
        <w:autoSpaceDN/>
        <w:bidi w:val="0"/>
        <w:adjustRightInd/>
        <w:snapToGrid/>
        <w:textAlignment w:val="auto"/>
      </w:pPr>
      <w:r>
        <w:rPr>
          <w:rFonts w:hint="eastAsia"/>
        </w:rPr>
        <w:t>根据在实践中经验教训，形成质量管理改进建议，促进项目质量体系的改进。</w:t>
      </w:r>
    </w:p>
    <w:p>
      <w:pPr>
        <w:pStyle w:val="5"/>
        <w:bidi w:val="0"/>
      </w:pPr>
      <w:bookmarkStart w:id="349" w:name="_Toc79310358"/>
      <w:bookmarkStart w:id="350" w:name="_Toc21788"/>
      <w:r>
        <w:rPr>
          <w:rFonts w:hint="eastAsia"/>
        </w:rPr>
        <w:t>项目质量管理主要活动</w:t>
      </w:r>
      <w:bookmarkEnd w:id="349"/>
      <w:bookmarkEnd w:id="350"/>
    </w:p>
    <w:p>
      <w:pPr>
        <w:keepNext w:val="0"/>
        <w:keepLines w:val="0"/>
        <w:pageBreakBefore w:val="0"/>
        <w:widowControl w:val="0"/>
        <w:numPr>
          <w:ilvl w:val="0"/>
          <w:numId w:val="34"/>
        </w:numPr>
        <w:kinsoku/>
        <w:wordWrap/>
        <w:overflowPunct/>
        <w:topLinePunct w:val="0"/>
        <w:autoSpaceDE/>
        <w:autoSpaceDN/>
        <w:bidi w:val="0"/>
        <w:adjustRightInd/>
        <w:snapToGrid/>
        <w:ind w:left="480" w:leftChars="0" w:firstLineChars="0"/>
        <w:textAlignment w:val="auto"/>
        <w:rPr>
          <w:rFonts w:ascii="宋体" w:hAnsi="宋体"/>
          <w:b/>
        </w:rPr>
      </w:pPr>
      <w:r>
        <w:rPr>
          <w:rFonts w:hint="eastAsia" w:ascii="宋体" w:hAnsi="宋体"/>
          <w:b/>
        </w:rPr>
        <w:t>项目评审</w:t>
      </w:r>
    </w:p>
    <w:p>
      <w:pPr>
        <w:keepNext w:val="0"/>
        <w:keepLines w:val="0"/>
        <w:pageBreakBefore w:val="0"/>
        <w:widowControl w:val="0"/>
        <w:kinsoku/>
        <w:wordWrap/>
        <w:overflowPunct/>
        <w:topLinePunct w:val="0"/>
        <w:autoSpaceDE/>
        <w:autoSpaceDN/>
        <w:bidi w:val="0"/>
        <w:adjustRightInd/>
        <w:snapToGrid/>
        <w:ind w:firstLine="480"/>
        <w:textAlignment w:val="auto"/>
      </w:pPr>
      <w:r>
        <w:rPr>
          <w:rFonts w:hint="eastAsia"/>
        </w:rPr>
        <w:t>应制定详细的项目评审计划。评审计划应包括以下主要评审点：项目合同评审、项目需求评审、项目实施计划评审、系统体系结构评审、测试报告评审、部署方案评审、验收计划评审等。给出评审进度安排，在评审完成后形成正式的评审报告。</w:t>
      </w:r>
    </w:p>
    <w:p>
      <w:pPr>
        <w:keepNext w:val="0"/>
        <w:keepLines w:val="0"/>
        <w:pageBreakBefore w:val="0"/>
        <w:widowControl w:val="0"/>
        <w:numPr>
          <w:ilvl w:val="0"/>
          <w:numId w:val="34"/>
        </w:numPr>
        <w:kinsoku/>
        <w:wordWrap/>
        <w:overflowPunct/>
        <w:topLinePunct w:val="0"/>
        <w:autoSpaceDE/>
        <w:autoSpaceDN/>
        <w:bidi w:val="0"/>
        <w:adjustRightInd/>
        <w:snapToGrid/>
        <w:ind w:left="480" w:leftChars="0" w:firstLineChars="0"/>
        <w:textAlignment w:val="auto"/>
        <w:rPr>
          <w:rFonts w:ascii="宋体" w:hAnsi="宋体"/>
          <w:b/>
        </w:rPr>
      </w:pPr>
      <w:r>
        <w:rPr>
          <w:rFonts w:hint="eastAsia" w:ascii="宋体" w:hAnsi="宋体"/>
          <w:b/>
        </w:rPr>
        <w:t>项目监督与跟踪</w:t>
      </w:r>
    </w:p>
    <w:p>
      <w:pPr>
        <w:keepNext w:val="0"/>
        <w:keepLines w:val="0"/>
        <w:pageBreakBefore w:val="0"/>
        <w:widowControl w:val="0"/>
        <w:kinsoku/>
        <w:wordWrap/>
        <w:overflowPunct/>
        <w:topLinePunct w:val="0"/>
        <w:autoSpaceDE/>
        <w:autoSpaceDN/>
        <w:bidi w:val="0"/>
        <w:adjustRightInd/>
        <w:snapToGrid/>
        <w:ind w:firstLine="480"/>
        <w:textAlignment w:val="auto"/>
      </w:pPr>
      <w:r>
        <w:rPr>
          <w:rFonts w:hint="eastAsia"/>
        </w:rPr>
        <w:t>按照项目实施计划，指定合理的质量保证计划，定期上报项目监督和跟踪报告。</w:t>
      </w:r>
    </w:p>
    <w:p>
      <w:pPr>
        <w:keepNext w:val="0"/>
        <w:keepLines w:val="0"/>
        <w:pageBreakBefore w:val="0"/>
        <w:widowControl w:val="0"/>
        <w:numPr>
          <w:ilvl w:val="0"/>
          <w:numId w:val="34"/>
        </w:numPr>
        <w:kinsoku/>
        <w:wordWrap/>
        <w:overflowPunct/>
        <w:topLinePunct w:val="0"/>
        <w:autoSpaceDE/>
        <w:autoSpaceDN/>
        <w:bidi w:val="0"/>
        <w:adjustRightInd/>
        <w:snapToGrid/>
        <w:ind w:left="480" w:leftChars="0" w:firstLineChars="0"/>
        <w:textAlignment w:val="auto"/>
        <w:rPr>
          <w:rFonts w:ascii="宋体" w:hAnsi="宋体"/>
          <w:b/>
        </w:rPr>
      </w:pPr>
      <w:r>
        <w:rPr>
          <w:rFonts w:hint="eastAsia" w:ascii="宋体" w:hAnsi="宋体"/>
          <w:b/>
        </w:rPr>
        <w:t>项目周例会</w:t>
      </w:r>
    </w:p>
    <w:p>
      <w:pPr>
        <w:pStyle w:val="13"/>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每周定期召开项目会议，汇报和审查项目的质量状态。</w:t>
      </w:r>
    </w:p>
    <w:p>
      <w:pPr>
        <w:pStyle w:val="5"/>
        <w:bidi w:val="0"/>
        <w:rPr>
          <w:rFonts w:hint="default"/>
          <w:lang w:val="en-US" w:eastAsia="zh-CN"/>
        </w:rPr>
      </w:pPr>
      <w:bookmarkStart w:id="351" w:name="_Toc24443"/>
      <w:bookmarkStart w:id="352" w:name="_Toc31203"/>
      <w:r>
        <w:rPr>
          <w:rFonts w:hint="eastAsia"/>
          <w:lang w:val="en-US" w:eastAsia="zh-CN"/>
        </w:rPr>
        <w:t>服务质量保证</w:t>
      </w:r>
      <w:bookmarkEnd w:id="351"/>
      <w:bookmarkEnd w:id="352"/>
    </w:p>
    <w:p>
      <w:pPr>
        <w:pStyle w:val="16"/>
        <w:ind w:firstLine="480" w:firstLineChars="200"/>
        <w:rPr>
          <w:rFonts w:hint="eastAsia" w:ascii="宋体" w:hAnsi="宋体" w:eastAsia="宋体" w:cs="宋体"/>
          <w:color w:val="000000"/>
          <w:sz w:val="24"/>
        </w:rPr>
      </w:pPr>
      <w:r>
        <w:rPr>
          <w:rFonts w:hint="eastAsia" w:ascii="宋体" w:hAnsi="宋体" w:eastAsia="宋体" w:cs="宋体"/>
          <w:color w:val="000000"/>
          <w:sz w:val="24"/>
        </w:rPr>
        <w:t>服务质量无止境，同时服务质量又是很难控制的，根据国际国内对于服务质量的控制管理理论，服务质量的控制关键是科学的量化措施和有效的监督机制。主要通过以下几方面的建设：规范化的服务流程；严格的服务监督机制；服务队伍技术素质保证；信息化的服务管理手段，为该项目提供高质量的服务保证。</w:t>
      </w:r>
    </w:p>
    <w:p>
      <w:pPr>
        <w:pStyle w:val="6"/>
        <w:bidi w:val="0"/>
        <w:rPr>
          <w:rFonts w:hint="eastAsia"/>
          <w:lang w:val="en-US" w:eastAsia="zh-CN"/>
        </w:rPr>
      </w:pPr>
      <w:bookmarkStart w:id="353" w:name="_Toc25111"/>
      <w:r>
        <w:rPr>
          <w:rFonts w:hint="eastAsia"/>
          <w:lang w:val="en-US" w:eastAsia="zh-CN"/>
        </w:rPr>
        <w:t>服务投诉流程</w:t>
      </w:r>
      <w:bookmarkEnd w:id="353"/>
    </w:p>
    <w:p>
      <w:pPr>
        <w:pStyle w:val="16"/>
        <w:ind w:firstLine="480" w:firstLineChars="200"/>
        <w:rPr>
          <w:rFonts w:hint="eastAsia" w:ascii="宋体" w:hAnsi="宋体" w:eastAsia="宋体" w:cs="宋体"/>
          <w:color w:val="000000"/>
          <w:sz w:val="24"/>
        </w:rPr>
      </w:pPr>
      <w:r>
        <w:rPr>
          <w:rFonts w:hint="eastAsia" w:ascii="宋体" w:hAnsi="宋体" w:eastAsia="宋体" w:cs="宋体"/>
          <w:color w:val="000000"/>
          <w:sz w:val="24"/>
        </w:rPr>
        <w:t>为了保证本项目的服务质量，制定服务投诉流程，用户对维护人员的服务质量不满意，可以拨打的投诉热线，质量监督小组进行受理，对服务态度</w:t>
      </w:r>
      <w:r>
        <w:rPr>
          <w:rFonts w:hint="eastAsia" w:ascii="宋体" w:hAnsi="宋体" w:eastAsia="宋体" w:cs="宋体"/>
          <w:color w:val="000000"/>
          <w:sz w:val="24"/>
          <w:lang w:val="en-US" w:eastAsia="zh-CN"/>
        </w:rPr>
        <w:t>恶劣的</w:t>
      </w:r>
      <w:r>
        <w:rPr>
          <w:rFonts w:hint="eastAsia" w:ascii="宋体" w:hAnsi="宋体" w:eastAsia="宋体" w:cs="宋体"/>
          <w:color w:val="000000"/>
          <w:sz w:val="24"/>
        </w:rPr>
        <w:t>维护人员进行惩罚，对服务技术不合格的维护人员进行培训，培训合格后方能上岗或改派维护人员。服务投诉流程图如下：</w:t>
      </w:r>
    </w:p>
    <w:p>
      <w:pPr>
        <w:spacing w:line="360" w:lineRule="auto"/>
        <w:ind w:left="0" w:leftChars="0" w:firstLine="0" w:firstLineChars="0"/>
        <w:jc w:val="center"/>
        <w:rPr>
          <w:rFonts w:ascii="仿宋" w:hAnsi="仿宋" w:eastAsia="仿宋"/>
          <w:color w:val="000000"/>
          <w:sz w:val="24"/>
        </w:rPr>
      </w:pPr>
      <w:r>
        <w:rPr>
          <w:rFonts w:ascii="仿宋" w:hAnsi="仿宋" w:eastAsia="仿宋"/>
          <w:color w:val="000000"/>
          <w:sz w:val="24"/>
        </w:rPr>
        <w:drawing>
          <wp:inline distT="0" distB="0" distL="114300" distR="114300">
            <wp:extent cx="4784090" cy="3317240"/>
            <wp:effectExtent l="0" t="0" r="16510" b="165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3"/>
                    <a:stretch>
                      <a:fillRect/>
                    </a:stretch>
                  </pic:blipFill>
                  <pic:spPr>
                    <a:xfrm>
                      <a:off x="0" y="0"/>
                      <a:ext cx="4784090" cy="3317240"/>
                    </a:xfrm>
                    <a:prstGeom prst="rect">
                      <a:avLst/>
                    </a:prstGeom>
                    <a:noFill/>
                    <a:ln>
                      <a:noFill/>
                    </a:ln>
                  </pic:spPr>
                </pic:pic>
              </a:graphicData>
            </a:graphic>
          </wp:inline>
        </w:drawing>
      </w:r>
    </w:p>
    <w:p>
      <w:pPr>
        <w:pStyle w:val="16"/>
        <w:jc w:val="center"/>
        <w:rPr>
          <w:rFonts w:hint="eastAsia"/>
        </w:rPr>
      </w:pPr>
      <w:r>
        <w:rPr>
          <w:rFonts w:hint="eastAsia"/>
          <w:sz w:val="21"/>
          <w:szCs w:val="21"/>
          <w:lang w:val="en-US" w:eastAsia="zh-CN"/>
        </w:rPr>
        <w:t>图7.4.3-1 服务投诉流程图</w:t>
      </w:r>
    </w:p>
    <w:p>
      <w:pPr>
        <w:pStyle w:val="6"/>
        <w:bidi w:val="0"/>
        <w:rPr>
          <w:rFonts w:hint="eastAsia"/>
          <w:lang w:val="en-US" w:eastAsia="zh-CN"/>
        </w:rPr>
      </w:pPr>
      <w:bookmarkStart w:id="354" w:name="_Toc19558"/>
      <w:r>
        <w:rPr>
          <w:rFonts w:hint="eastAsia"/>
          <w:lang w:val="en-US" w:eastAsia="zh-CN"/>
        </w:rPr>
        <w:t>现场服务规范</w:t>
      </w:r>
      <w:bookmarkEnd w:id="354"/>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1、故障解决后的复检及解释</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故障解决后，服务人员必须对之进行复检。服务人员必须向客户讲述清楚故障原因及故障解决办法，并有义务向客户提供必要的建议。</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2、维护服务单填写</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维护服务人员必须认真填写故障现象，故障排除办法及处理结果等。客户有权利核实维护服务人员的填写内容，若认为填写不符合事实，客户可拒绝在服务单上签字并直接进行电话投诉。维护服务人员有义务提醒客户填写维护服务单中的顾客反馈意见。</w:t>
      </w:r>
    </w:p>
    <w:p>
      <w:pPr>
        <w:pStyle w:val="6"/>
        <w:bidi w:val="0"/>
        <w:rPr>
          <w:rFonts w:hint="eastAsia"/>
          <w:lang w:val="en-US" w:eastAsia="zh-CN"/>
        </w:rPr>
      </w:pPr>
      <w:bookmarkStart w:id="355" w:name="_Toc10186"/>
      <w:r>
        <w:rPr>
          <w:rFonts w:hint="eastAsia"/>
          <w:lang w:val="en-US" w:eastAsia="zh-CN"/>
        </w:rPr>
        <w:t>服务监督机制</w:t>
      </w:r>
      <w:bookmarkEnd w:id="355"/>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服务监督是提供优质服务的保证。IT行业服务中，每一项服务的技术含量都很高，要保证高质量的服务水平和让客户感到满意，建立有效的评审标准、对服务人员进行严格的工作考核是十分重要的。在长期的服务过程中，建立了一套完整的服务质量监督机制。</w:t>
      </w:r>
    </w:p>
    <w:p>
      <w:pPr>
        <w:pStyle w:val="7"/>
        <w:rPr>
          <w:rFonts w:hint="eastAsia"/>
          <w:b/>
          <w:color w:val="000000"/>
          <w:szCs w:val="24"/>
        </w:rPr>
      </w:pPr>
      <w:bookmarkStart w:id="356" w:name="_Toc31456"/>
      <w:r>
        <w:rPr>
          <w:rFonts w:hint="eastAsia"/>
          <w:b/>
          <w:color w:val="000000"/>
          <w:szCs w:val="24"/>
        </w:rPr>
        <w:t>服务质量监督</w:t>
      </w:r>
      <w:bookmarkEnd w:id="35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为了加强服务质量监督的组织性，成立服务质量监督小组，负责对项目小组的服务质量监督工作。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1、监督小组的职责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监督小组的主要职责是：管理维护服务体系，监督、协调项目小组做好用户服务工作，组织服务质量考核评估。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2、监督小组的成员组成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服务质量监督小组包括组长1名，成员1名。组长由领导直接出任，以保证监督工作的权威性。</w:t>
      </w:r>
    </w:p>
    <w:p>
      <w:pPr>
        <w:pStyle w:val="7"/>
        <w:rPr>
          <w:rFonts w:hint="eastAsia"/>
          <w:b/>
          <w:color w:val="000000"/>
          <w:szCs w:val="24"/>
        </w:rPr>
      </w:pPr>
      <w:bookmarkStart w:id="357" w:name="_Toc4937"/>
      <w:r>
        <w:rPr>
          <w:rFonts w:hint="eastAsia"/>
          <w:b/>
          <w:color w:val="000000"/>
          <w:szCs w:val="24"/>
        </w:rPr>
        <w:t>服务质量评估</w:t>
      </w:r>
      <w:bookmarkEnd w:id="357"/>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服务质量监督小组的一个重要工作就是进行服务质量评估，服务质量评估结果是反映服务质量的硬性指标。</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1、评估时间安排</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服务质量监督小组将每月定期组织对所有维护服务人员的服务质量考核评估。另外，还将采取不定期的抽查评估。</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2、质量评估依据</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客户是维护工程师进行项目维护、故障分析处理的直接参与者。客户积极参与填写服务单中的客户反馈意见是用以监督、促进维护服务质量，最可靠、最真实的考核评估依据。另外，监督小组还将不定期进行现场服务检查，检查结果直接影响服务人员的评估成绩。</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3、质量评估项目</w:t>
      </w:r>
    </w:p>
    <w:p>
      <w:pPr>
        <w:pStyle w:val="16"/>
        <w:ind w:firstLine="480" w:firstLineChars="200"/>
        <w:rPr>
          <w:rFonts w:hint="eastAsia" w:ascii="宋体" w:hAnsi="宋体" w:eastAsia="宋体" w:cs="宋体"/>
          <w:color w:val="000000"/>
          <w:sz w:val="24"/>
        </w:rPr>
      </w:pPr>
      <w:r>
        <w:rPr>
          <w:rFonts w:hint="eastAsia" w:ascii="宋体" w:hAnsi="宋体" w:eastAsia="宋体" w:cs="宋体"/>
          <w:color w:val="000000"/>
          <w:sz w:val="24"/>
        </w:rPr>
        <w:t>服务质量评估项目主要包括：电话接听率、及时到场率、故障解决效率、投诉率、例行检查次数是否达标。</w:t>
      </w:r>
    </w:p>
    <w:p>
      <w:pPr>
        <w:pStyle w:val="7"/>
        <w:rPr>
          <w:rFonts w:hint="default"/>
          <w:b/>
          <w:color w:val="000000"/>
          <w:szCs w:val="24"/>
          <w:lang w:val="en-US" w:eastAsia="zh-CN"/>
        </w:rPr>
      </w:pPr>
      <w:r>
        <w:rPr>
          <w:rFonts w:hint="eastAsia"/>
          <w:b/>
          <w:color w:val="000000"/>
          <w:szCs w:val="24"/>
          <w:lang w:val="en-US" w:eastAsia="zh-CN"/>
        </w:rPr>
        <w:t>服务质量保障</w:t>
      </w:r>
    </w:p>
    <w:p>
      <w:pPr>
        <w:numPr>
          <w:ilvl w:val="0"/>
          <w:numId w:val="0"/>
        </w:numPr>
        <w:spacing w:line="360" w:lineRule="auto"/>
        <w:ind w:firstLine="480" w:firstLineChars="200"/>
        <w:rPr>
          <w:rFonts w:hint="eastAsia"/>
        </w:rPr>
      </w:pPr>
      <w:r>
        <w:rPr>
          <w:rFonts w:hint="eastAsia" w:cs="宋体"/>
          <w:color w:val="000000"/>
          <w:sz w:val="24"/>
          <w:lang w:val="en-US" w:eastAsia="zh-CN"/>
        </w:rPr>
        <w:t>本次项目</w:t>
      </w:r>
      <w:r>
        <w:rPr>
          <w:rFonts w:hint="eastAsia" w:ascii="宋体" w:hAnsi="宋体" w:eastAsia="宋体" w:cs="宋体"/>
          <w:color w:val="000000"/>
          <w:sz w:val="24"/>
          <w:lang w:val="en-US" w:eastAsia="zh-CN"/>
        </w:rPr>
        <w:t>3</w:t>
      </w:r>
      <w:r>
        <w:rPr>
          <w:rFonts w:hint="eastAsia" w:ascii="宋体" w:hAnsi="宋体" w:eastAsia="宋体" w:cs="宋体"/>
          <w:color w:val="000000"/>
          <w:sz w:val="24"/>
        </w:rPr>
        <w:t>%的资金作为</w:t>
      </w:r>
      <w:r>
        <w:rPr>
          <w:rFonts w:hint="eastAsia" w:ascii="宋体" w:hAnsi="宋体" w:eastAsia="宋体" w:cs="宋体"/>
          <w:color w:val="000000"/>
          <w:sz w:val="24"/>
          <w:lang w:val="en-US" w:eastAsia="zh-CN"/>
        </w:rPr>
        <w:t>维</w:t>
      </w:r>
      <w:r>
        <w:rPr>
          <w:rFonts w:hint="eastAsia" w:ascii="宋体" w:hAnsi="宋体" w:eastAsia="宋体" w:cs="宋体"/>
          <w:color w:val="000000"/>
          <w:sz w:val="24"/>
        </w:rPr>
        <w:t>保期内的保证金，在</w:t>
      </w:r>
      <w:r>
        <w:rPr>
          <w:rFonts w:hint="eastAsia" w:cs="宋体"/>
          <w:color w:val="000000"/>
          <w:sz w:val="24"/>
          <w:lang w:val="en-US" w:eastAsia="zh-CN"/>
        </w:rPr>
        <w:t>三</w:t>
      </w:r>
      <w:r>
        <w:rPr>
          <w:rFonts w:hint="eastAsia" w:ascii="宋体" w:hAnsi="宋体" w:eastAsia="宋体" w:cs="宋体"/>
          <w:color w:val="000000"/>
          <w:sz w:val="24"/>
        </w:rPr>
        <w:t>年免费</w:t>
      </w:r>
      <w:r>
        <w:rPr>
          <w:rFonts w:hint="eastAsia" w:ascii="宋体" w:hAnsi="宋体" w:eastAsia="宋体" w:cs="宋体"/>
          <w:color w:val="000000"/>
          <w:sz w:val="24"/>
          <w:lang w:val="en-US" w:eastAsia="zh-CN"/>
        </w:rPr>
        <w:t>维</w:t>
      </w:r>
      <w:r>
        <w:rPr>
          <w:rFonts w:hint="eastAsia" w:ascii="宋体" w:hAnsi="宋体" w:eastAsia="宋体" w:cs="宋体"/>
          <w:color w:val="000000"/>
          <w:sz w:val="24"/>
        </w:rPr>
        <w:t>保期结束后支出。</w:t>
      </w:r>
      <w:r>
        <w:rPr>
          <w:rFonts w:hint="eastAsia" w:cs="宋体"/>
          <w:color w:val="000000"/>
          <w:sz w:val="24"/>
          <w:lang w:val="en-US" w:eastAsia="zh-CN"/>
        </w:rPr>
        <w:t>维保期间服务质量未达标，建设方可与承建方在合同中规定违约金细节。</w:t>
      </w:r>
    </w:p>
    <w:p>
      <w:pPr>
        <w:pStyle w:val="4"/>
        <w:rPr>
          <w:color w:val="000000" w:themeColor="text1"/>
          <w14:textFill>
            <w14:solidFill>
              <w14:schemeClr w14:val="tx1"/>
            </w14:solidFill>
          </w14:textFill>
        </w:rPr>
      </w:pPr>
      <w:bookmarkStart w:id="358" w:name="_Toc27680572"/>
      <w:bookmarkStart w:id="359" w:name="_Toc24251"/>
      <w:bookmarkStart w:id="360" w:name="_Toc27936049"/>
      <w:r>
        <w:rPr>
          <w:rFonts w:hint="eastAsia"/>
          <w:color w:val="000000" w:themeColor="text1"/>
          <w14:textFill>
            <w14:solidFill>
              <w14:schemeClr w14:val="tx1"/>
            </w14:solidFill>
          </w14:textFill>
        </w:rPr>
        <w:t>人员培训需求和计划</w:t>
      </w:r>
      <w:bookmarkEnd w:id="358"/>
      <w:bookmarkEnd w:id="359"/>
      <w:bookmarkEnd w:id="360"/>
    </w:p>
    <w:p>
      <w:pPr>
        <w:spacing w:line="360" w:lineRule="auto"/>
        <w:ind w:firstLine="480"/>
      </w:pPr>
      <w:r>
        <w:rPr>
          <w:rFonts w:hint="eastAsia"/>
        </w:rPr>
        <w:t>在</w:t>
      </w:r>
      <w:r>
        <w:rPr>
          <w:rFonts w:hint="eastAsia"/>
          <w:lang w:val="en-US" w:eastAsia="zh-CN"/>
        </w:rPr>
        <w:t>系统</w:t>
      </w:r>
      <w:r>
        <w:rPr>
          <w:rFonts w:hint="eastAsia"/>
        </w:rPr>
        <w:t>上线前一周对农产品展销管理平台</w:t>
      </w:r>
      <w:r>
        <w:rPr>
          <w:rFonts w:hint="eastAsia"/>
          <w:lang w:val="en-US" w:eastAsia="zh-CN"/>
        </w:rPr>
        <w:t>操作人员</w:t>
      </w:r>
      <w:r>
        <w:rPr>
          <w:rFonts w:hint="eastAsia"/>
        </w:rPr>
        <w:t>进行培训，培训质量将直接影响到项目的建设，并影响到项目后期的维护。只有经过良好培训的用户才可以减少重复操作，提高生产率。同时，一个良好的信息系统要求一个训练有素的队伍进行操作和维护，以使整个运行成本降到最低。</w:t>
      </w:r>
    </w:p>
    <w:p>
      <w:pPr>
        <w:pStyle w:val="13"/>
        <w:spacing w:line="360" w:lineRule="auto"/>
        <w:rPr>
          <w:rFonts w:hint="eastAsia"/>
        </w:rPr>
      </w:pPr>
      <w:r>
        <w:rPr>
          <w:rFonts w:hint="eastAsia"/>
        </w:rPr>
        <w:t>培训方式采用集中培训为主，视频教学为辅。</w:t>
      </w:r>
    </w:p>
    <w:p>
      <w:pPr>
        <w:pStyle w:val="5"/>
        <w:bidi w:val="0"/>
        <w:rPr>
          <w:rFonts w:hint="eastAsia"/>
        </w:rPr>
      </w:pPr>
      <w:bookmarkStart w:id="361" w:name="_Toc31004"/>
      <w:bookmarkStart w:id="362" w:name="_Toc15582"/>
      <w:r>
        <w:rPr>
          <w:rFonts w:hint="eastAsia"/>
        </w:rPr>
        <w:t>培训期</w:t>
      </w:r>
      <w:bookmarkEnd w:id="361"/>
      <w:bookmarkEnd w:id="362"/>
    </w:p>
    <w:p>
      <w:pPr>
        <w:spacing w:line="360" w:lineRule="auto"/>
        <w:ind w:firstLine="480"/>
        <w:rPr>
          <w:rFonts w:hint="eastAsia"/>
        </w:rPr>
      </w:pPr>
      <w:r>
        <w:rPr>
          <w:rFonts w:hint="eastAsia"/>
        </w:rPr>
        <w:t>项目的培训期从合同签订之日至项目免费售后服务期满，持续时间</w:t>
      </w:r>
      <w:r>
        <w:rPr>
          <w:rFonts w:hint="eastAsia"/>
          <w:lang w:val="en-US" w:eastAsia="zh-CN"/>
        </w:rPr>
        <w:t>为1个月试运行</w:t>
      </w:r>
      <w:r>
        <w:rPr>
          <w:rFonts w:hint="eastAsia"/>
        </w:rPr>
        <w:t xml:space="preserve">期 + </w:t>
      </w:r>
      <w:r>
        <w:rPr>
          <w:rFonts w:hint="eastAsia"/>
          <w:lang w:val="en-US" w:eastAsia="zh-CN"/>
        </w:rPr>
        <w:t>3</w:t>
      </w:r>
      <w:r>
        <w:rPr>
          <w:rFonts w:hint="eastAsia"/>
        </w:rPr>
        <w:t>年</w:t>
      </w:r>
      <w:r>
        <w:rPr>
          <w:rFonts w:hint="eastAsia"/>
          <w:lang w:val="en-US" w:eastAsia="zh-CN"/>
        </w:rPr>
        <w:t>维保期</w:t>
      </w:r>
      <w:r>
        <w:rPr>
          <w:rFonts w:hint="eastAsia"/>
        </w:rPr>
        <w:t>。</w:t>
      </w:r>
    </w:p>
    <w:p>
      <w:pPr>
        <w:spacing w:line="360" w:lineRule="auto"/>
        <w:ind w:firstLine="480"/>
        <w:rPr>
          <w:rFonts w:hint="default" w:eastAsia="宋体"/>
          <w:highlight w:val="yellow"/>
          <w:lang w:val="en-US" w:eastAsia="zh-CN"/>
        </w:rPr>
      </w:pPr>
      <w:bookmarkStart w:id="363" w:name="_Toc79310369"/>
      <w:r>
        <w:rPr>
          <w:rFonts w:hint="eastAsia"/>
        </w:rPr>
        <w:t>在培训期内，项目承建单位应</w:t>
      </w:r>
      <w:r>
        <w:rPr>
          <w:rFonts w:hint="eastAsia"/>
          <w:lang w:val="en-US" w:eastAsia="zh-CN"/>
        </w:rPr>
        <w:t>建设方</w:t>
      </w:r>
      <w:r>
        <w:rPr>
          <w:rFonts w:hint="eastAsia"/>
        </w:rPr>
        <w:t>或使用单位要求，提供集中培训服务，培训场次</w:t>
      </w:r>
      <w:r>
        <w:rPr>
          <w:rFonts w:hint="eastAsia"/>
          <w:lang w:val="en-US" w:eastAsia="zh-CN"/>
        </w:rPr>
        <w:t>4次，可以应单位要求提供合理的重复培训服务</w:t>
      </w:r>
      <w:r>
        <w:rPr>
          <w:rFonts w:hint="eastAsia"/>
        </w:rPr>
        <w:t>。</w:t>
      </w:r>
    </w:p>
    <w:p>
      <w:pPr>
        <w:pStyle w:val="5"/>
        <w:bidi w:val="0"/>
      </w:pPr>
      <w:bookmarkStart w:id="364" w:name="_Toc10720"/>
      <w:r>
        <w:rPr>
          <w:rFonts w:hint="eastAsia"/>
        </w:rPr>
        <w:t>制定培训计划</w:t>
      </w:r>
      <w:bookmarkEnd w:id="363"/>
      <w:bookmarkEnd w:id="364"/>
    </w:p>
    <w:p>
      <w:pPr>
        <w:spacing w:line="360" w:lineRule="auto"/>
        <w:ind w:firstLine="480"/>
        <w:rPr>
          <w:rFonts w:hint="eastAsia"/>
        </w:rPr>
      </w:pPr>
      <w:r>
        <w:rPr>
          <w:rFonts w:hint="eastAsia"/>
        </w:rPr>
        <w:t>主要工作包括：根据实际情况制定详细的培训计划，计划内容包括确定当批次培训的培训对象、培训内容、培训目标，采取的培训形式，需要准备的培训资料和培训环境等。</w:t>
      </w:r>
    </w:p>
    <w:p>
      <w:pPr>
        <w:spacing w:line="360" w:lineRule="auto"/>
        <w:ind w:firstLine="480"/>
        <w:rPr>
          <w:rFonts w:hint="eastAsia"/>
        </w:rPr>
      </w:pPr>
      <w:r>
        <w:rPr>
          <w:rFonts w:hint="eastAsia"/>
        </w:rPr>
        <w:t>为保证有充分时间安排培训计划，一般需要提前两周落实系统培训需求。</w:t>
      </w:r>
    </w:p>
    <w:p>
      <w:pPr>
        <w:pStyle w:val="5"/>
        <w:bidi w:val="0"/>
      </w:pPr>
      <w:bookmarkStart w:id="365" w:name="_Toc79310370"/>
      <w:bookmarkStart w:id="366" w:name="_Toc1099"/>
      <w:r>
        <w:rPr>
          <w:rFonts w:hint="eastAsia"/>
        </w:rPr>
        <w:t>培训准备</w:t>
      </w:r>
      <w:bookmarkEnd w:id="365"/>
      <w:bookmarkEnd w:id="366"/>
    </w:p>
    <w:p>
      <w:pPr>
        <w:spacing w:line="360" w:lineRule="auto"/>
        <w:ind w:firstLine="480"/>
        <w:rPr>
          <w:rFonts w:hint="eastAsia"/>
        </w:rPr>
      </w:pPr>
      <w:r>
        <w:rPr>
          <w:rFonts w:hint="eastAsia"/>
        </w:rPr>
        <w:t>主要工作包括：</w:t>
      </w:r>
    </w:p>
    <w:p>
      <w:pPr>
        <w:spacing w:line="360" w:lineRule="auto"/>
        <w:ind w:firstLine="480"/>
        <w:rPr>
          <w:rFonts w:hint="eastAsia"/>
        </w:rPr>
      </w:pPr>
      <w:r>
        <w:rPr>
          <w:rFonts w:hint="eastAsia"/>
        </w:rPr>
        <w:t>1、针对培训对象定制培训内容，准备培训现场派发的资料。</w:t>
      </w:r>
    </w:p>
    <w:p>
      <w:pPr>
        <w:spacing w:line="360" w:lineRule="auto"/>
        <w:ind w:firstLine="480"/>
        <w:rPr>
          <w:rFonts w:hint="eastAsia"/>
        </w:rPr>
      </w:pPr>
      <w:r>
        <w:rPr>
          <w:rFonts w:hint="eastAsia"/>
        </w:rPr>
        <w:t>2、根据培训内容定制培训版本软件包和数据库。</w:t>
      </w:r>
    </w:p>
    <w:p>
      <w:pPr>
        <w:spacing w:line="360" w:lineRule="auto"/>
        <w:ind w:firstLine="480"/>
        <w:rPr>
          <w:rFonts w:hint="eastAsia"/>
        </w:rPr>
      </w:pPr>
      <w:r>
        <w:rPr>
          <w:rFonts w:hint="eastAsia"/>
        </w:rPr>
        <w:t>3、布置培训场地，需要时搭建系统的培训环境，为培训对象上机试用做好准备。</w:t>
      </w:r>
    </w:p>
    <w:p>
      <w:pPr>
        <w:spacing w:line="360" w:lineRule="auto"/>
        <w:ind w:firstLine="480"/>
        <w:rPr>
          <w:rFonts w:hint="eastAsia"/>
        </w:rPr>
      </w:pPr>
      <w:r>
        <w:rPr>
          <w:rFonts w:hint="eastAsia"/>
        </w:rPr>
        <w:t>4、培训准备工作一般需要2周时间。</w:t>
      </w:r>
    </w:p>
    <w:p>
      <w:pPr>
        <w:pStyle w:val="5"/>
        <w:bidi w:val="0"/>
      </w:pPr>
      <w:bookmarkStart w:id="367" w:name="_Toc10663"/>
      <w:bookmarkStart w:id="368" w:name="_Toc79310371"/>
      <w:r>
        <w:rPr>
          <w:rFonts w:hint="eastAsia"/>
        </w:rPr>
        <w:t>培训内容</w:t>
      </w:r>
      <w:bookmarkEnd w:id="367"/>
      <w:bookmarkEnd w:id="368"/>
    </w:p>
    <w:p>
      <w:pPr>
        <w:spacing w:line="360" w:lineRule="auto"/>
        <w:ind w:firstLine="480"/>
        <w:rPr>
          <w:rFonts w:hint="default" w:eastAsia="宋体"/>
          <w:lang w:val="en-US" w:eastAsia="zh-CN"/>
        </w:rPr>
      </w:pPr>
      <w:r>
        <w:rPr>
          <w:rFonts w:hint="eastAsia"/>
        </w:rPr>
        <w:t>在项目领导小组的组织和安排下，通过由项目承建单位委派资深培训讲师并提供培训材料、用户方统一安排培训场地及组织培训学员的方式来完成培训任务。</w:t>
      </w:r>
      <w:r>
        <w:rPr>
          <w:rFonts w:hint="eastAsia"/>
          <w:lang w:val="en-US" w:eastAsia="zh-CN"/>
        </w:rPr>
        <w:t>资深讲师要求从事电商平台培训工作五年以上。</w:t>
      </w:r>
    </w:p>
    <w:p>
      <w:pPr>
        <w:spacing w:line="360" w:lineRule="auto"/>
        <w:ind w:firstLine="480"/>
        <w:rPr>
          <w:rFonts w:hint="eastAsia"/>
        </w:rPr>
      </w:pPr>
      <w:r>
        <w:rPr>
          <w:rFonts w:hint="eastAsia"/>
        </w:rPr>
        <w:t>培训过程中提供的服务内容包括如下：</w:t>
      </w:r>
    </w:p>
    <w:p>
      <w:pPr>
        <w:spacing w:line="360" w:lineRule="auto"/>
        <w:ind w:firstLine="480"/>
        <w:rPr>
          <w:rFonts w:hint="eastAsia"/>
        </w:rPr>
      </w:pPr>
      <w:r>
        <w:rPr>
          <w:rFonts w:hint="eastAsia"/>
        </w:rPr>
        <w:t>1)</w:t>
      </w:r>
      <w:r>
        <w:rPr>
          <w:rFonts w:hint="eastAsia"/>
        </w:rPr>
        <w:tab/>
      </w:r>
      <w:r>
        <w:rPr>
          <w:rFonts w:hint="eastAsia"/>
        </w:rPr>
        <w:t>培训计划的制定；</w:t>
      </w:r>
    </w:p>
    <w:p>
      <w:pPr>
        <w:spacing w:line="360" w:lineRule="auto"/>
        <w:ind w:firstLine="480"/>
        <w:rPr>
          <w:rFonts w:hint="eastAsia"/>
        </w:rPr>
      </w:pPr>
      <w:r>
        <w:rPr>
          <w:rFonts w:hint="eastAsia"/>
        </w:rPr>
        <w:t>2)</w:t>
      </w:r>
      <w:r>
        <w:rPr>
          <w:rFonts w:hint="eastAsia"/>
        </w:rPr>
        <w:tab/>
      </w:r>
      <w:r>
        <w:rPr>
          <w:rFonts w:hint="eastAsia"/>
        </w:rPr>
        <w:t>培训教材的制作；</w:t>
      </w:r>
    </w:p>
    <w:p>
      <w:pPr>
        <w:spacing w:line="360" w:lineRule="auto"/>
        <w:ind w:firstLine="480"/>
        <w:rPr>
          <w:rFonts w:hint="eastAsia"/>
        </w:rPr>
      </w:pPr>
      <w:r>
        <w:rPr>
          <w:rFonts w:hint="eastAsia"/>
        </w:rPr>
        <w:t>3)</w:t>
      </w:r>
      <w:r>
        <w:rPr>
          <w:rFonts w:hint="eastAsia"/>
        </w:rPr>
        <w:tab/>
      </w:r>
      <w:r>
        <w:rPr>
          <w:rFonts w:hint="eastAsia"/>
        </w:rPr>
        <w:t>培训讲师的选派；</w:t>
      </w:r>
    </w:p>
    <w:p>
      <w:pPr>
        <w:spacing w:line="360" w:lineRule="auto"/>
        <w:ind w:firstLine="480"/>
        <w:rPr>
          <w:rFonts w:hint="eastAsia"/>
        </w:rPr>
      </w:pPr>
      <w:r>
        <w:rPr>
          <w:rFonts w:hint="eastAsia"/>
        </w:rPr>
        <w:t>4)</w:t>
      </w:r>
      <w:r>
        <w:rPr>
          <w:rFonts w:hint="eastAsia"/>
        </w:rPr>
        <w:tab/>
      </w:r>
      <w:r>
        <w:rPr>
          <w:rFonts w:hint="eastAsia"/>
        </w:rPr>
        <w:t>执行培训任务；</w:t>
      </w:r>
    </w:p>
    <w:p>
      <w:pPr>
        <w:spacing w:line="360" w:lineRule="auto"/>
        <w:ind w:firstLine="480"/>
        <w:rPr>
          <w:rFonts w:hint="eastAsia"/>
        </w:rPr>
      </w:pPr>
      <w:r>
        <w:rPr>
          <w:rFonts w:hint="eastAsia"/>
        </w:rPr>
        <w:t>5)</w:t>
      </w:r>
      <w:r>
        <w:rPr>
          <w:rFonts w:hint="eastAsia"/>
        </w:rPr>
        <w:tab/>
      </w:r>
      <w:r>
        <w:rPr>
          <w:rFonts w:hint="eastAsia"/>
        </w:rPr>
        <w:t>培训情况总结及培训满意度调查等。</w:t>
      </w:r>
    </w:p>
    <w:p>
      <w:pPr>
        <w:spacing w:line="360" w:lineRule="auto"/>
        <w:ind w:firstLine="480"/>
        <w:rPr>
          <w:rFonts w:hint="eastAsia"/>
        </w:rPr>
      </w:pPr>
      <w:r>
        <w:rPr>
          <w:rFonts w:hint="eastAsia"/>
        </w:rPr>
        <w:t>实施小组进行系统操作培训的准备工作，包括安排培训场地（人手一台电脑、可上网）、准备培训教材与用例、组织培训场次等。</w:t>
      </w:r>
    </w:p>
    <w:p>
      <w:pPr>
        <w:spacing w:line="360" w:lineRule="auto"/>
        <w:ind w:firstLine="480"/>
        <w:rPr>
          <w:rFonts w:hint="eastAsia"/>
        </w:rPr>
      </w:pPr>
      <w:r>
        <w:rPr>
          <w:rFonts w:hint="eastAsia"/>
        </w:rPr>
        <w:t>培训课程如下：</w:t>
      </w:r>
    </w:p>
    <w:p>
      <w:pPr>
        <w:spacing w:line="360" w:lineRule="auto"/>
        <w:ind w:firstLine="480"/>
        <w:rPr>
          <w:rFonts w:hint="default"/>
          <w:b/>
          <w:bCs/>
          <w:lang w:val="en-US" w:eastAsia="zh-CN"/>
        </w:rPr>
      </w:pPr>
      <w:r>
        <w:rPr>
          <w:rFonts w:hint="eastAsia"/>
          <w:b/>
          <w:bCs/>
          <w:lang w:val="en-US" w:eastAsia="zh-CN"/>
        </w:rPr>
        <w:t>一、安全管理培训</w:t>
      </w:r>
    </w:p>
    <w:tbl>
      <w:tblPr>
        <w:tblStyle w:val="3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30"/>
        <w:gridCol w:w="2465"/>
        <w:gridCol w:w="2057"/>
        <w:gridCol w:w="2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4"/>
            <w:noWrap w:val="0"/>
            <w:vAlign w:val="center"/>
          </w:tcPr>
          <w:p>
            <w:pPr>
              <w:keepNext w:val="0"/>
              <w:keepLines w:val="0"/>
              <w:pageBreakBefore w:val="0"/>
              <w:tabs>
                <w:tab w:val="left" w:pos="2590"/>
              </w:tabs>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000000"/>
                <w:sz w:val="22"/>
                <w:szCs w:val="18"/>
                <w:lang w:val="en-US" w:eastAsia="zh-CN"/>
              </w:rPr>
            </w:pPr>
            <w:r>
              <w:rPr>
                <w:rFonts w:hint="eastAsia" w:cs="宋体"/>
                <w:color w:val="000000"/>
                <w:sz w:val="22"/>
                <w:szCs w:val="18"/>
                <w:lang w:val="en-US" w:eastAsia="zh-CN"/>
              </w:rPr>
              <w:t>安全管理培训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2"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培训对象</w:t>
            </w:r>
          </w:p>
        </w:tc>
        <w:tc>
          <w:tcPr>
            <w:tcW w:w="3867" w:type="pct"/>
            <w:gridSpan w:val="3"/>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color w:val="000000"/>
                <w:sz w:val="22"/>
                <w:szCs w:val="18"/>
                <w:lang w:val="en-US" w:eastAsia="zh-CN"/>
              </w:rPr>
            </w:pPr>
            <w:r>
              <w:rPr>
                <w:rFonts w:hint="default" w:ascii="宋体" w:hAnsi="宋体" w:eastAsia="宋体" w:cs="宋体"/>
                <w:color w:val="000000"/>
                <w:sz w:val="22"/>
                <w:szCs w:val="18"/>
                <w:lang w:val="en-US" w:eastAsia="zh-CN"/>
              </w:rPr>
              <w:t>运营主管、运营专员、美工设计、客服人员、财务人员、推广专员、信息数据专员、物流统筹员</w:t>
            </w:r>
            <w:r>
              <w:rPr>
                <w:rFonts w:hint="eastAsia" w:cs="宋体"/>
                <w:i w:val="0"/>
                <w:iCs w:val="0"/>
                <w:color w:val="000000"/>
                <w:kern w:val="0"/>
                <w:sz w:val="24"/>
                <w:szCs w:val="24"/>
                <w:u w:val="none"/>
                <w:lang w:val="en-US" w:eastAsia="zh-CN" w:bidi="ar"/>
              </w:rPr>
              <w:t>、</w:t>
            </w:r>
            <w:r>
              <w:rPr>
                <w:rFonts w:hint="default" w:ascii="宋体" w:hAnsi="宋体" w:eastAsia="宋体" w:cs="宋体"/>
                <w:color w:val="000000"/>
                <w:sz w:val="22"/>
                <w:szCs w:val="18"/>
                <w:lang w:val="en-US" w:eastAsia="zh-CN"/>
              </w:rPr>
              <w:t>品控人员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培训内容</w:t>
            </w:r>
          </w:p>
        </w:tc>
        <w:tc>
          <w:tcPr>
            <w:tcW w:w="3867" w:type="pct"/>
            <w:gridSpan w:val="3"/>
            <w:noWrap w:val="0"/>
            <w:vAlign w:val="center"/>
          </w:tcPr>
          <w:p>
            <w:pPr>
              <w:spacing w:line="360" w:lineRule="auto"/>
              <w:ind w:left="0" w:leftChars="0" w:firstLine="0" w:firstLineChars="0"/>
              <w:rPr>
                <w:rFonts w:hint="eastAsia" w:ascii="宋体" w:hAnsi="宋体" w:eastAsia="宋体" w:cs="宋体"/>
                <w:color w:val="000000"/>
                <w:sz w:val="22"/>
                <w:szCs w:val="18"/>
              </w:rPr>
            </w:pPr>
            <w:r>
              <w:rPr>
                <w:rFonts w:hint="eastAsia"/>
                <w:sz w:val="22"/>
                <w:szCs w:val="18"/>
              </w:rPr>
              <w:t>网络安全、支付安全、信息安全等安全管理相关内容现场培训</w:t>
            </w:r>
            <w:r>
              <w:rPr>
                <w:rFonts w:hint="eastAsia"/>
                <w:sz w:val="22"/>
                <w:szCs w:val="18"/>
                <w:lang w:val="en-US" w:eastAsia="zh-CN"/>
              </w:rPr>
              <w:t>等</w:t>
            </w:r>
            <w:r>
              <w:rPr>
                <w:rFonts w:hint="eastAsia"/>
                <w:sz w:val="22"/>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2" w:type="pct"/>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培训时长</w:t>
            </w:r>
          </w:p>
        </w:tc>
        <w:tc>
          <w:tcPr>
            <w:tcW w:w="2651" w:type="pct"/>
            <w:gridSpan w:val="2"/>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讲课</w:t>
            </w:r>
          </w:p>
        </w:tc>
        <w:tc>
          <w:tcPr>
            <w:tcW w:w="1216"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0.5天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p>
        </w:tc>
        <w:tc>
          <w:tcPr>
            <w:tcW w:w="2651" w:type="pct"/>
            <w:gridSpan w:val="2"/>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操作</w:t>
            </w:r>
          </w:p>
        </w:tc>
        <w:tc>
          <w:tcPr>
            <w:tcW w:w="1216"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0.5天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培训方式</w:t>
            </w:r>
          </w:p>
        </w:tc>
        <w:tc>
          <w:tcPr>
            <w:tcW w:w="1445"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2"/>
                <w:szCs w:val="18"/>
                <w:lang w:val="en-US" w:bidi="ar-SA"/>
              </w:rPr>
            </w:pPr>
            <w:r>
              <w:rPr>
                <w:rFonts w:hint="eastAsia" w:ascii="宋体" w:hAnsi="宋体" w:eastAsia="宋体" w:cs="宋体"/>
                <w:color w:val="000000"/>
                <w:sz w:val="22"/>
                <w:szCs w:val="18"/>
              </w:rPr>
              <w:t>集中讲课+实操</w:t>
            </w:r>
          </w:p>
        </w:tc>
        <w:tc>
          <w:tcPr>
            <w:tcW w:w="1206"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培训地点</w:t>
            </w:r>
          </w:p>
        </w:tc>
        <w:tc>
          <w:tcPr>
            <w:tcW w:w="1216"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color w:val="000000"/>
                <w:sz w:val="22"/>
                <w:szCs w:val="18"/>
                <w:lang w:val="en-US" w:eastAsia="zh-CN"/>
              </w:rPr>
            </w:pPr>
            <w:r>
              <w:rPr>
                <w:rFonts w:hint="eastAsia" w:cs="宋体"/>
                <w:color w:val="000000"/>
                <w:sz w:val="22"/>
                <w:szCs w:val="18"/>
                <w:lang w:val="en-US" w:eastAsia="zh-CN"/>
              </w:rPr>
              <w:t>建设方指定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培训人数</w:t>
            </w:r>
          </w:p>
        </w:tc>
        <w:tc>
          <w:tcPr>
            <w:tcW w:w="1445"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cs="宋体"/>
                <w:color w:val="000000"/>
                <w:sz w:val="22"/>
                <w:szCs w:val="18"/>
                <w:lang w:val="en-US" w:eastAsia="zh-CN"/>
              </w:rPr>
              <w:t>10</w:t>
            </w:r>
            <w:r>
              <w:rPr>
                <w:rFonts w:hint="eastAsia" w:ascii="宋体" w:hAnsi="宋体" w:eastAsia="宋体" w:cs="宋体"/>
                <w:color w:val="000000"/>
                <w:sz w:val="22"/>
                <w:szCs w:val="18"/>
              </w:rPr>
              <w:t>-20人/场次</w:t>
            </w:r>
          </w:p>
        </w:tc>
        <w:tc>
          <w:tcPr>
            <w:tcW w:w="1206"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培训场次</w:t>
            </w:r>
          </w:p>
        </w:tc>
        <w:tc>
          <w:tcPr>
            <w:tcW w:w="1216"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培训期内</w:t>
            </w:r>
            <w:r>
              <w:rPr>
                <w:rFonts w:hint="eastAsia" w:cs="宋体"/>
                <w:color w:val="000000"/>
                <w:sz w:val="22"/>
                <w:szCs w:val="18"/>
                <w:lang w:val="en-US" w:eastAsia="zh-CN"/>
              </w:rPr>
              <w:t>2</w:t>
            </w:r>
            <w:r>
              <w:rPr>
                <w:rFonts w:hint="eastAsia" w:ascii="宋体" w:hAnsi="宋体" w:eastAsia="宋体" w:cs="宋体"/>
                <w:color w:val="000000"/>
                <w:sz w:val="22"/>
                <w:szCs w:val="18"/>
              </w:rPr>
              <w:t>次，根据使用单位的需要</w:t>
            </w:r>
            <w:r>
              <w:rPr>
                <w:rFonts w:hint="eastAsia" w:cs="宋体"/>
                <w:color w:val="000000"/>
                <w:sz w:val="22"/>
                <w:szCs w:val="18"/>
                <w:lang w:val="en-US" w:eastAsia="zh-CN"/>
              </w:rPr>
              <w:t>可增加次数。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培训讲师</w:t>
            </w:r>
          </w:p>
        </w:tc>
        <w:tc>
          <w:tcPr>
            <w:tcW w:w="3867" w:type="pct"/>
            <w:gridSpan w:val="3"/>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业务专家与技术专家（中级工程师）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培训条件</w:t>
            </w:r>
          </w:p>
        </w:tc>
        <w:tc>
          <w:tcPr>
            <w:tcW w:w="1445"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电教室或单位办公电脑</w:t>
            </w:r>
          </w:p>
        </w:tc>
        <w:tc>
          <w:tcPr>
            <w:tcW w:w="2422" w:type="pct"/>
            <w:gridSpan w:val="2"/>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人手一台电脑（可上网），集中培训需要有投影与音响设备（</w:t>
            </w:r>
            <w:r>
              <w:rPr>
                <w:rFonts w:hint="eastAsia" w:cs="宋体"/>
                <w:color w:val="000000"/>
                <w:sz w:val="22"/>
                <w:szCs w:val="18"/>
                <w:lang w:val="en-US" w:eastAsia="zh-CN"/>
              </w:rPr>
              <w:t>建设方</w:t>
            </w:r>
            <w:r>
              <w:rPr>
                <w:rFonts w:hint="eastAsia" w:ascii="宋体" w:hAnsi="宋体" w:eastAsia="宋体" w:cs="宋体"/>
                <w:color w:val="000000"/>
                <w:sz w:val="22"/>
                <w:szCs w:val="18"/>
              </w:rPr>
              <w:t>或使用单位提供）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p>
        </w:tc>
        <w:tc>
          <w:tcPr>
            <w:tcW w:w="1445"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培训教材与用例</w:t>
            </w:r>
          </w:p>
        </w:tc>
        <w:tc>
          <w:tcPr>
            <w:tcW w:w="2422" w:type="pct"/>
            <w:gridSpan w:val="2"/>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《操作手册》、操作用例、操作帐号（承建单位准备）</w:t>
            </w:r>
          </w:p>
        </w:tc>
      </w:tr>
    </w:tbl>
    <w:p>
      <w:pPr>
        <w:spacing w:line="360" w:lineRule="auto"/>
        <w:ind w:firstLine="480"/>
        <w:rPr>
          <w:rFonts w:hint="eastAsia"/>
          <w:lang w:val="en-US" w:eastAsia="zh-CN"/>
        </w:rPr>
      </w:pPr>
    </w:p>
    <w:p>
      <w:pPr>
        <w:spacing w:line="360" w:lineRule="auto"/>
        <w:ind w:firstLine="480"/>
        <w:rPr>
          <w:rFonts w:hint="default"/>
          <w:b/>
          <w:bCs/>
          <w:lang w:val="en-US" w:eastAsia="zh-CN"/>
        </w:rPr>
      </w:pPr>
      <w:r>
        <w:rPr>
          <w:rFonts w:hint="eastAsia"/>
          <w:b/>
          <w:bCs/>
          <w:lang w:val="en-US" w:eastAsia="zh-CN"/>
        </w:rPr>
        <w:t>二、管理员操作培训</w:t>
      </w:r>
    </w:p>
    <w:tbl>
      <w:tblPr>
        <w:tblStyle w:val="3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30"/>
        <w:gridCol w:w="2465"/>
        <w:gridCol w:w="2057"/>
        <w:gridCol w:w="2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4"/>
            <w:noWrap w:val="0"/>
            <w:vAlign w:val="center"/>
          </w:tcPr>
          <w:p>
            <w:pPr>
              <w:keepNext w:val="0"/>
              <w:keepLines w:val="0"/>
              <w:pageBreakBefore w:val="0"/>
              <w:tabs>
                <w:tab w:val="left" w:pos="2590"/>
              </w:tabs>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000000"/>
                <w:sz w:val="22"/>
                <w:szCs w:val="18"/>
                <w:lang w:val="en-US" w:eastAsia="zh-CN"/>
              </w:rPr>
            </w:pPr>
            <w:r>
              <w:rPr>
                <w:rFonts w:hint="default" w:ascii="宋体" w:hAnsi="宋体" w:eastAsia="宋体" w:cs="宋体"/>
                <w:color w:val="000000"/>
                <w:sz w:val="22"/>
                <w:szCs w:val="18"/>
                <w:lang w:val="en-US" w:eastAsia="zh-CN"/>
              </w:rPr>
              <w:t>管理员操作培训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2"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培训对象</w:t>
            </w:r>
          </w:p>
        </w:tc>
        <w:tc>
          <w:tcPr>
            <w:tcW w:w="3867" w:type="pct"/>
            <w:gridSpan w:val="3"/>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color w:val="000000"/>
                <w:sz w:val="22"/>
                <w:szCs w:val="18"/>
                <w:lang w:val="en-US" w:eastAsia="zh-CN"/>
              </w:rPr>
            </w:pPr>
            <w:r>
              <w:rPr>
                <w:rFonts w:hint="default" w:ascii="宋体" w:hAnsi="宋体" w:eastAsia="宋体" w:cs="宋体"/>
                <w:color w:val="000000"/>
                <w:sz w:val="22"/>
                <w:szCs w:val="18"/>
                <w:lang w:val="en-US" w:eastAsia="zh-CN"/>
              </w:rPr>
              <w:t>运营主管、运营专员、美工设计、客服人员、财务人员、推广专员、信息数据专员、物流统筹员</w:t>
            </w:r>
            <w:r>
              <w:rPr>
                <w:rFonts w:hint="eastAsia" w:cs="宋体"/>
                <w:i w:val="0"/>
                <w:iCs w:val="0"/>
                <w:color w:val="000000"/>
                <w:kern w:val="0"/>
                <w:sz w:val="24"/>
                <w:szCs w:val="24"/>
                <w:u w:val="none"/>
                <w:lang w:val="en-US" w:eastAsia="zh-CN" w:bidi="ar"/>
              </w:rPr>
              <w:t>、</w:t>
            </w:r>
            <w:r>
              <w:rPr>
                <w:rFonts w:hint="default" w:ascii="宋体" w:hAnsi="宋体" w:eastAsia="宋体" w:cs="宋体"/>
                <w:color w:val="000000"/>
                <w:sz w:val="22"/>
                <w:szCs w:val="18"/>
                <w:lang w:val="en-US" w:eastAsia="zh-CN"/>
              </w:rPr>
              <w:t>品控人员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培训内容</w:t>
            </w:r>
          </w:p>
        </w:tc>
        <w:tc>
          <w:tcPr>
            <w:tcW w:w="3867" w:type="pct"/>
            <w:gridSpan w:val="3"/>
            <w:noWrap w:val="0"/>
            <w:vAlign w:val="center"/>
          </w:tcPr>
          <w:p>
            <w:pPr>
              <w:spacing w:line="360" w:lineRule="auto"/>
              <w:ind w:left="0" w:leftChars="0" w:firstLine="0" w:firstLineChars="0"/>
              <w:rPr>
                <w:rFonts w:hint="eastAsia" w:ascii="宋体" w:hAnsi="宋体" w:eastAsia="宋体" w:cs="宋体"/>
                <w:color w:val="000000"/>
                <w:sz w:val="22"/>
                <w:szCs w:val="18"/>
              </w:rPr>
            </w:pPr>
            <w:r>
              <w:rPr>
                <w:rFonts w:hint="eastAsia"/>
                <w:sz w:val="22"/>
                <w:szCs w:val="18"/>
              </w:rPr>
              <w:t>网络和系统登录</w:t>
            </w:r>
            <w:r>
              <w:rPr>
                <w:rFonts w:hint="eastAsia"/>
                <w:sz w:val="22"/>
                <w:szCs w:val="18"/>
                <w:lang w:eastAsia="zh-CN"/>
              </w:rPr>
              <w:t>、</w:t>
            </w:r>
            <w:r>
              <w:rPr>
                <w:rFonts w:hint="eastAsia"/>
                <w:sz w:val="22"/>
                <w:szCs w:val="18"/>
              </w:rPr>
              <w:t>软件系统的操作和功能</w:t>
            </w:r>
            <w:r>
              <w:rPr>
                <w:rFonts w:hint="eastAsia"/>
                <w:sz w:val="22"/>
                <w:szCs w:val="18"/>
                <w:lang w:eastAsia="zh-CN"/>
              </w:rPr>
              <w:t>、</w:t>
            </w:r>
            <w:r>
              <w:rPr>
                <w:rFonts w:hint="eastAsia"/>
                <w:sz w:val="22"/>
                <w:szCs w:val="18"/>
              </w:rPr>
              <w:t>了解基本系统错误信息的意义</w:t>
            </w:r>
            <w:r>
              <w:rPr>
                <w:rFonts w:hint="eastAsia"/>
                <w:sz w:val="22"/>
                <w:szCs w:val="18"/>
                <w:lang w:eastAsia="zh-CN"/>
              </w:rPr>
              <w:t>、</w:t>
            </w:r>
            <w:r>
              <w:rPr>
                <w:rFonts w:hint="eastAsia"/>
                <w:sz w:val="22"/>
                <w:szCs w:val="18"/>
              </w:rPr>
              <w:t>向系统管理员报告遇到的问题</w:t>
            </w:r>
            <w:r>
              <w:rPr>
                <w:rFonts w:hint="eastAsia"/>
                <w:sz w:val="22"/>
                <w:szCs w:val="18"/>
                <w:lang w:val="en-US" w:eastAsia="zh-CN"/>
              </w:rPr>
              <w:t>等</w:t>
            </w:r>
            <w:r>
              <w:rPr>
                <w:rFonts w:hint="eastAsia"/>
                <w:sz w:val="22"/>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培训时长</w:t>
            </w:r>
          </w:p>
        </w:tc>
        <w:tc>
          <w:tcPr>
            <w:tcW w:w="2651" w:type="pct"/>
            <w:gridSpan w:val="2"/>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讲课</w:t>
            </w:r>
          </w:p>
        </w:tc>
        <w:tc>
          <w:tcPr>
            <w:tcW w:w="1216"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0.5天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p>
        </w:tc>
        <w:tc>
          <w:tcPr>
            <w:tcW w:w="2651" w:type="pct"/>
            <w:gridSpan w:val="2"/>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操作</w:t>
            </w:r>
          </w:p>
        </w:tc>
        <w:tc>
          <w:tcPr>
            <w:tcW w:w="1216"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0.5天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培训方式</w:t>
            </w:r>
          </w:p>
        </w:tc>
        <w:tc>
          <w:tcPr>
            <w:tcW w:w="1445"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2"/>
                <w:szCs w:val="18"/>
                <w:lang w:val="en-US" w:bidi="ar-SA"/>
              </w:rPr>
            </w:pPr>
            <w:r>
              <w:rPr>
                <w:rFonts w:hint="eastAsia" w:ascii="宋体" w:hAnsi="宋体" w:eastAsia="宋体" w:cs="宋体"/>
                <w:color w:val="000000"/>
                <w:sz w:val="22"/>
                <w:szCs w:val="18"/>
              </w:rPr>
              <w:t>集中讲课+实操</w:t>
            </w:r>
          </w:p>
        </w:tc>
        <w:tc>
          <w:tcPr>
            <w:tcW w:w="1206"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培训地点</w:t>
            </w:r>
          </w:p>
        </w:tc>
        <w:tc>
          <w:tcPr>
            <w:tcW w:w="1216"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color w:val="000000"/>
                <w:sz w:val="22"/>
                <w:szCs w:val="18"/>
                <w:lang w:val="en-US" w:eastAsia="zh-CN"/>
              </w:rPr>
            </w:pPr>
            <w:r>
              <w:rPr>
                <w:rFonts w:hint="eastAsia" w:cs="宋体"/>
                <w:color w:val="000000"/>
                <w:sz w:val="22"/>
                <w:szCs w:val="18"/>
                <w:lang w:val="en-US" w:eastAsia="zh-CN"/>
              </w:rPr>
              <w:t>建设方指定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培训人数</w:t>
            </w:r>
          </w:p>
        </w:tc>
        <w:tc>
          <w:tcPr>
            <w:tcW w:w="1445"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cs="宋体"/>
                <w:color w:val="000000"/>
                <w:sz w:val="22"/>
                <w:szCs w:val="18"/>
                <w:lang w:val="en-US" w:eastAsia="zh-CN"/>
              </w:rPr>
              <w:t>8</w:t>
            </w:r>
            <w:r>
              <w:rPr>
                <w:rFonts w:hint="eastAsia" w:ascii="宋体" w:hAnsi="宋体" w:eastAsia="宋体" w:cs="宋体"/>
                <w:color w:val="000000"/>
                <w:sz w:val="22"/>
                <w:szCs w:val="18"/>
              </w:rPr>
              <w:t>-20人/场次</w:t>
            </w:r>
          </w:p>
        </w:tc>
        <w:tc>
          <w:tcPr>
            <w:tcW w:w="1206"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培训场次</w:t>
            </w:r>
          </w:p>
        </w:tc>
        <w:tc>
          <w:tcPr>
            <w:tcW w:w="1216"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color w:val="000000"/>
                <w:sz w:val="22"/>
                <w:szCs w:val="18"/>
                <w:lang w:val="en-US" w:eastAsia="zh-CN"/>
              </w:rPr>
            </w:pPr>
            <w:r>
              <w:rPr>
                <w:rFonts w:hint="eastAsia" w:ascii="宋体" w:hAnsi="宋体" w:eastAsia="宋体" w:cs="宋体"/>
                <w:color w:val="000000"/>
                <w:sz w:val="22"/>
                <w:szCs w:val="18"/>
              </w:rPr>
              <w:t>培训期内</w:t>
            </w:r>
            <w:r>
              <w:rPr>
                <w:rFonts w:hint="eastAsia" w:cs="宋体"/>
                <w:color w:val="000000"/>
                <w:sz w:val="22"/>
                <w:szCs w:val="18"/>
                <w:lang w:val="en-US" w:eastAsia="zh-CN"/>
              </w:rPr>
              <w:t>2</w:t>
            </w:r>
            <w:r>
              <w:rPr>
                <w:rFonts w:hint="eastAsia" w:ascii="宋体" w:hAnsi="宋体" w:eastAsia="宋体" w:cs="宋体"/>
                <w:color w:val="000000"/>
                <w:sz w:val="22"/>
                <w:szCs w:val="18"/>
              </w:rPr>
              <w:t>次，根据使用单位的需要</w:t>
            </w:r>
            <w:r>
              <w:rPr>
                <w:rFonts w:hint="eastAsia" w:cs="宋体"/>
                <w:color w:val="000000"/>
                <w:sz w:val="22"/>
                <w:szCs w:val="18"/>
                <w:lang w:val="en-US" w:eastAsia="zh-CN"/>
              </w:rPr>
              <w:t>可增加次数。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培训讲师</w:t>
            </w:r>
          </w:p>
        </w:tc>
        <w:tc>
          <w:tcPr>
            <w:tcW w:w="3867" w:type="pct"/>
            <w:gridSpan w:val="3"/>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业务专家与技术专家（中级工程师）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培训条件</w:t>
            </w:r>
          </w:p>
        </w:tc>
        <w:tc>
          <w:tcPr>
            <w:tcW w:w="1445"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电教室或单位办公电脑</w:t>
            </w:r>
          </w:p>
        </w:tc>
        <w:tc>
          <w:tcPr>
            <w:tcW w:w="2422" w:type="pct"/>
            <w:gridSpan w:val="2"/>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人手一台电脑（可上网），集中培训需要有投影与音响设备（</w:t>
            </w:r>
            <w:r>
              <w:rPr>
                <w:rFonts w:hint="eastAsia" w:cs="宋体"/>
                <w:color w:val="000000"/>
                <w:sz w:val="22"/>
                <w:szCs w:val="18"/>
                <w:lang w:val="en-US" w:eastAsia="zh-CN"/>
              </w:rPr>
              <w:t>建设方</w:t>
            </w:r>
            <w:r>
              <w:rPr>
                <w:rFonts w:hint="eastAsia" w:ascii="宋体" w:hAnsi="宋体" w:eastAsia="宋体" w:cs="宋体"/>
                <w:color w:val="000000"/>
                <w:sz w:val="22"/>
                <w:szCs w:val="18"/>
              </w:rPr>
              <w:t>或使用单位提供）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pct"/>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p>
        </w:tc>
        <w:tc>
          <w:tcPr>
            <w:tcW w:w="1445" w:type="pct"/>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培训教材与用例</w:t>
            </w:r>
          </w:p>
        </w:tc>
        <w:tc>
          <w:tcPr>
            <w:tcW w:w="2422" w:type="pct"/>
            <w:gridSpan w:val="2"/>
            <w:noWrap w:val="0"/>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2"/>
                <w:szCs w:val="18"/>
              </w:rPr>
            </w:pPr>
            <w:r>
              <w:rPr>
                <w:rFonts w:hint="eastAsia" w:ascii="宋体" w:hAnsi="宋体" w:eastAsia="宋体" w:cs="宋体"/>
                <w:color w:val="000000"/>
                <w:sz w:val="22"/>
                <w:szCs w:val="18"/>
              </w:rPr>
              <w:t>《操作手册》、操作用例、操作帐号（承建单位准备）</w:t>
            </w:r>
          </w:p>
        </w:tc>
      </w:tr>
    </w:tbl>
    <w:p>
      <w:pPr>
        <w:pStyle w:val="16"/>
        <w:rPr>
          <w:rFonts w:hint="eastAsia"/>
        </w:rPr>
      </w:pPr>
    </w:p>
    <w:p>
      <w:pPr>
        <w:pStyle w:val="5"/>
        <w:bidi w:val="0"/>
      </w:pPr>
      <w:bookmarkStart w:id="369" w:name="_Toc4336"/>
      <w:bookmarkStart w:id="370" w:name="_Toc79310372"/>
      <w:r>
        <w:rPr>
          <w:rFonts w:hint="eastAsia"/>
        </w:rPr>
        <w:t>培训现场授课</w:t>
      </w:r>
      <w:bookmarkEnd w:id="369"/>
      <w:bookmarkEnd w:id="370"/>
    </w:p>
    <w:p>
      <w:pPr>
        <w:spacing w:line="360" w:lineRule="auto"/>
        <w:ind w:firstLine="480"/>
        <w:rPr>
          <w:rFonts w:hint="eastAsia"/>
        </w:rPr>
      </w:pPr>
      <w:r>
        <w:rPr>
          <w:rFonts w:hint="eastAsia"/>
        </w:rPr>
        <w:t>培训主要工作包括：</w:t>
      </w:r>
    </w:p>
    <w:p>
      <w:pPr>
        <w:spacing w:line="360" w:lineRule="auto"/>
        <w:ind w:firstLine="480"/>
        <w:rPr>
          <w:rFonts w:hint="eastAsia"/>
        </w:rPr>
      </w:pPr>
      <w:r>
        <w:rPr>
          <w:rFonts w:hint="eastAsia"/>
        </w:rPr>
        <w:t>1、协助</w:t>
      </w:r>
      <w:r>
        <w:rPr>
          <w:rFonts w:hint="eastAsia"/>
          <w:lang w:val="en-US" w:eastAsia="zh-CN"/>
        </w:rPr>
        <w:t>建设单位</w:t>
      </w:r>
      <w:r>
        <w:rPr>
          <w:rFonts w:hint="eastAsia"/>
        </w:rPr>
        <w:t>进行培训对象签到工作，并在现场派发指导资料与练习资料；</w:t>
      </w:r>
    </w:p>
    <w:p>
      <w:pPr>
        <w:spacing w:line="360" w:lineRule="auto"/>
        <w:ind w:firstLine="480"/>
        <w:rPr>
          <w:rFonts w:hint="eastAsia"/>
        </w:rPr>
      </w:pPr>
      <w:r>
        <w:rPr>
          <w:rFonts w:hint="eastAsia"/>
        </w:rPr>
        <w:t>2、对培训对象进行集中授课培训，详细讲解系统功能并进行操作示范；</w:t>
      </w:r>
    </w:p>
    <w:p>
      <w:pPr>
        <w:spacing w:line="360" w:lineRule="auto"/>
        <w:ind w:firstLine="480"/>
        <w:rPr>
          <w:rFonts w:hint="eastAsia"/>
        </w:rPr>
      </w:pPr>
      <w:r>
        <w:rPr>
          <w:rFonts w:hint="eastAsia"/>
        </w:rPr>
        <w:t>3、在培训对象上机练习时提供现场辅导服务，对培训对象提出的各种问题提供解答；</w:t>
      </w:r>
    </w:p>
    <w:p>
      <w:pPr>
        <w:spacing w:line="360" w:lineRule="auto"/>
        <w:ind w:firstLine="480"/>
        <w:rPr>
          <w:rFonts w:hint="eastAsia"/>
        </w:rPr>
      </w:pPr>
      <w:r>
        <w:rPr>
          <w:rFonts w:hint="eastAsia"/>
        </w:rPr>
        <w:t>4、指导培训对象根据培训资料完成培训习题。</w:t>
      </w:r>
    </w:p>
    <w:p>
      <w:pPr>
        <w:spacing w:line="360" w:lineRule="auto"/>
        <w:ind w:firstLine="480"/>
        <w:rPr>
          <w:rFonts w:hint="eastAsia"/>
        </w:rPr>
      </w:pPr>
      <w:r>
        <w:rPr>
          <w:rFonts w:hint="eastAsia"/>
        </w:rPr>
        <w:t>派出专业的培训讲师进行授课讲解，讲解的内容根据培训内容而定。培训讲师根据培训对象的理解能力用通俗易懂的语言，配合多媒体的教学用具进行讲解。培训讲师采用一边讲解，一边使用系统的培训环境进行操作演示的方法，使培训对象能够直观地学习系统功能相关知识，达到培训的最大效果。对没有太多计算机使用经验的个别单位用户，把系统功能操作和实际业务流程联系在一起进行讲解，尽快掌握系统功能的操作要诀。</w:t>
      </w:r>
    </w:p>
    <w:p>
      <w:pPr>
        <w:pStyle w:val="5"/>
        <w:bidi w:val="0"/>
        <w:rPr>
          <w:rFonts w:hint="default"/>
          <w:lang w:val="en-US" w:eastAsia="zh-CN"/>
        </w:rPr>
      </w:pPr>
      <w:bookmarkStart w:id="371" w:name="_Toc13677"/>
      <w:r>
        <w:rPr>
          <w:rFonts w:hint="eastAsia"/>
          <w:lang w:val="en-US" w:eastAsia="zh-CN"/>
        </w:rPr>
        <w:t>培训效果</w:t>
      </w:r>
      <w:bookmarkEnd w:id="371"/>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szCs w:val="24"/>
        </w:rPr>
      </w:pPr>
      <w:r>
        <w:rPr>
          <w:rFonts w:hint="eastAsia" w:ascii="Times New Roman" w:hAnsi="Times New Roman"/>
          <w:szCs w:val="24"/>
        </w:rPr>
        <w:t>运行维护技术人员经过培训应能进行日常设备运行维护工作，掌握软件、硬件的操作，熟悉硬件基本功能。能熟练地分析软件、硬件信息等工作，并能有效的组织、开展业务应用能力。</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szCs w:val="24"/>
        </w:rPr>
      </w:pPr>
      <w:r>
        <w:rPr>
          <w:rFonts w:hint="eastAsia" w:ascii="Times New Roman" w:hAnsi="Times New Roman"/>
          <w:szCs w:val="24"/>
        </w:rPr>
        <w:t>高级工程技术人员培训后，能够处理一般维护人员不能处理的技术问题。</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lang w:val="en-US" w:eastAsia="zh-CN"/>
        </w:rPr>
      </w:pPr>
      <w:r>
        <w:rPr>
          <w:rFonts w:hint="eastAsia" w:ascii="Times New Roman" w:hAnsi="Times New Roman"/>
          <w:szCs w:val="24"/>
        </w:rPr>
        <w:t>管理人员经培训后，应能负责全面的技术管理工作，了解系统建设的过程，系统功能及未来建设的规划。</w:t>
      </w:r>
    </w:p>
    <w:p>
      <w:pPr>
        <w:pStyle w:val="5"/>
        <w:bidi w:val="0"/>
      </w:pPr>
      <w:bookmarkStart w:id="372" w:name="_Toc22430"/>
      <w:bookmarkStart w:id="373" w:name="_Toc79310373"/>
      <w:r>
        <w:rPr>
          <w:rFonts w:hint="eastAsia"/>
        </w:rPr>
        <w:t>培训效果跟踪及质量保障</w:t>
      </w:r>
      <w:bookmarkEnd w:id="372"/>
      <w:bookmarkEnd w:id="373"/>
    </w:p>
    <w:p>
      <w:pPr>
        <w:spacing w:line="360" w:lineRule="auto"/>
        <w:ind w:firstLine="480"/>
        <w:rPr>
          <w:rFonts w:hint="eastAsia"/>
        </w:rPr>
      </w:pPr>
      <w:r>
        <w:rPr>
          <w:rFonts w:hint="eastAsia"/>
        </w:rPr>
        <w:t>主要工作包括：</w:t>
      </w:r>
    </w:p>
    <w:p>
      <w:pPr>
        <w:spacing w:line="360" w:lineRule="auto"/>
        <w:ind w:firstLine="480"/>
        <w:rPr>
          <w:rFonts w:hint="eastAsia"/>
        </w:rPr>
      </w:pPr>
      <w:r>
        <w:rPr>
          <w:rFonts w:hint="eastAsia"/>
        </w:rPr>
        <w:t>1、培训现场收集培训对象对培训的反馈意见。</w:t>
      </w:r>
    </w:p>
    <w:p>
      <w:pPr>
        <w:spacing w:line="360" w:lineRule="auto"/>
        <w:ind w:firstLine="480"/>
        <w:rPr>
          <w:rFonts w:hint="eastAsia"/>
        </w:rPr>
      </w:pPr>
      <w:r>
        <w:rPr>
          <w:rFonts w:hint="eastAsia"/>
        </w:rPr>
        <w:t>2、培训完后，定期电话回访培训对象，跟踪其掌握系统的情况，提交培训效果报告。</w:t>
      </w:r>
    </w:p>
    <w:p>
      <w:pPr>
        <w:spacing w:line="360" w:lineRule="auto"/>
        <w:ind w:firstLine="480"/>
        <w:rPr>
          <w:rFonts w:hint="eastAsia"/>
        </w:rPr>
      </w:pPr>
      <w:r>
        <w:rPr>
          <w:rFonts w:hint="eastAsia"/>
        </w:rPr>
        <w:t>3、培训完后，提出培训改进建议。</w:t>
      </w:r>
    </w:p>
    <w:p>
      <w:pPr>
        <w:spacing w:line="360" w:lineRule="auto"/>
        <w:ind w:firstLine="480"/>
        <w:rPr>
          <w:rFonts w:hint="eastAsia"/>
        </w:rPr>
      </w:pPr>
      <w:r>
        <w:rPr>
          <w:rFonts w:hint="eastAsia"/>
        </w:rPr>
        <w:t>在每次培训后整理培训对象的出勤情况和反馈情况，提交培训效果报告。每次培训的反馈意见表是改善培训流程、提高培训质量的重要依据。定期回访培训对象，就反馈意见表的内容进行交流，为客户制定更加科学和本地化的培训流程。</w:t>
      </w:r>
    </w:p>
    <w:p>
      <w:pPr>
        <w:pStyle w:val="5"/>
        <w:bidi w:val="0"/>
      </w:pPr>
      <w:bookmarkStart w:id="374" w:name="_Toc9729"/>
      <w:bookmarkStart w:id="375" w:name="_Toc79310374"/>
      <w:r>
        <w:rPr>
          <w:rFonts w:hint="eastAsia"/>
        </w:rPr>
        <w:t>培训服务确认</w:t>
      </w:r>
      <w:bookmarkEnd w:id="374"/>
      <w:bookmarkEnd w:id="375"/>
    </w:p>
    <w:p>
      <w:pPr>
        <w:spacing w:line="360" w:lineRule="auto"/>
        <w:ind w:firstLine="480"/>
        <w:rPr>
          <w:rFonts w:hint="eastAsia"/>
        </w:rPr>
      </w:pPr>
      <w:r>
        <w:rPr>
          <w:rFonts w:hint="eastAsia"/>
        </w:rPr>
        <w:t>每次完成系统用户培训后，</w:t>
      </w:r>
      <w:r>
        <w:rPr>
          <w:rFonts w:hint="eastAsia"/>
          <w:lang w:val="en-US" w:eastAsia="zh-CN"/>
        </w:rPr>
        <w:t>建设单位</w:t>
      </w:r>
      <w:r>
        <w:rPr>
          <w:rFonts w:hint="eastAsia"/>
        </w:rPr>
        <w:t>都需要对培训服务工作进行确认，主要形式为在相关的培训服务单上签字确认。</w:t>
      </w:r>
    </w:p>
    <w:p>
      <w:pPr>
        <w:pStyle w:val="4"/>
        <w:bidi w:val="0"/>
      </w:pPr>
      <w:bookmarkStart w:id="376" w:name="_Toc12322"/>
      <w:bookmarkStart w:id="377" w:name="_Toc27936050"/>
      <w:bookmarkStart w:id="378" w:name="_Toc27680573"/>
      <w:r>
        <w:rPr>
          <w:rFonts w:hint="eastAsia"/>
        </w:rPr>
        <w:t>项目风险与风险管理</w:t>
      </w:r>
      <w:bookmarkEnd w:id="376"/>
      <w:bookmarkEnd w:id="377"/>
      <w:bookmarkEnd w:id="378"/>
    </w:p>
    <w:p>
      <w:pPr>
        <w:pStyle w:val="5"/>
        <w:bidi w:val="0"/>
        <w:rPr>
          <w:rFonts w:hint="default"/>
          <w:lang w:val="en-US" w:eastAsia="zh-CN"/>
        </w:rPr>
      </w:pPr>
      <w:bookmarkStart w:id="379" w:name="_Toc13650"/>
      <w:r>
        <w:rPr>
          <w:rFonts w:hint="eastAsia"/>
          <w:lang w:val="en-US" w:eastAsia="zh-CN"/>
        </w:rPr>
        <w:t>项目风险</w:t>
      </w:r>
      <w:bookmarkEnd w:id="379"/>
    </w:p>
    <w:p>
      <w:pPr>
        <w:ind w:firstLine="480"/>
      </w:pPr>
      <w:r>
        <w:rPr>
          <w:rFonts w:hint="eastAsia"/>
        </w:rPr>
        <w:t>本系统运行后所面临的风险主要包括系统运行风险、操作风险、技术及信息安全风险等。</w:t>
      </w:r>
    </w:p>
    <w:p>
      <w:pPr>
        <w:pStyle w:val="6"/>
        <w:bidi w:val="0"/>
      </w:pPr>
      <w:bookmarkStart w:id="380" w:name="_Toc79310360"/>
      <w:r>
        <w:rPr>
          <w:rFonts w:hint="eastAsia"/>
        </w:rPr>
        <w:t>系统运行风险</w:t>
      </w:r>
      <w:bookmarkEnd w:id="380"/>
    </w:p>
    <w:p>
      <w:pPr>
        <w:ind w:firstLine="480"/>
      </w:pPr>
      <w:r>
        <w:rPr>
          <w:rFonts w:hint="eastAsia"/>
        </w:rPr>
        <w:t>系统运行风险主要有人为因素和非人为因素两种。人为因素指用户非法占用网络资源、窃取或有意阻塞网络通信、通过计算机病毒来降低网络性能造成计算机网络瘫痪等。非人为因素主要指自然灾害影响，如风雨雷电、地震、火灾等造成系统运行故障。</w:t>
      </w:r>
    </w:p>
    <w:p>
      <w:pPr>
        <w:pStyle w:val="6"/>
        <w:bidi w:val="0"/>
        <w:rPr>
          <w:rFonts w:hint="eastAsia"/>
        </w:rPr>
      </w:pPr>
      <w:bookmarkStart w:id="381" w:name="_Toc79310361"/>
      <w:r>
        <w:rPr>
          <w:rFonts w:hint="eastAsia"/>
        </w:rPr>
        <w:t>操作风险</w:t>
      </w:r>
      <w:bookmarkEnd w:id="381"/>
    </w:p>
    <w:p>
      <w:pPr>
        <w:ind w:firstLine="480"/>
      </w:pPr>
      <w:r>
        <w:rPr>
          <w:rFonts w:hint="eastAsia"/>
        </w:rPr>
        <w:t>操作人员采用不正当的手段获取、篡改数据、盗用资源（计算资源、通信资源、存储资源），用户越权对信息数据的处理以及其他对数据的破坏行为，非人为因素对数据的破坏指通讯传输过程中对数据的干扰、计算机硬件故障、软件运行差错等风险可能篡改信息的内容、形式和流向，都会造成整个系统数据丢失、无法运行甚至瘫痪而造成巨大经济损失。</w:t>
      </w:r>
    </w:p>
    <w:p>
      <w:pPr>
        <w:pStyle w:val="6"/>
        <w:bidi w:val="0"/>
        <w:rPr>
          <w:rFonts w:hint="eastAsia"/>
        </w:rPr>
      </w:pPr>
      <w:bookmarkStart w:id="382" w:name="_Toc79310362"/>
      <w:r>
        <w:rPr>
          <w:rFonts w:hint="eastAsia"/>
        </w:rPr>
        <w:t>技术及信息安全风险</w:t>
      </w:r>
      <w:bookmarkEnd w:id="382"/>
    </w:p>
    <w:p>
      <w:pPr>
        <w:ind w:firstLine="480"/>
      </w:pPr>
      <w:r>
        <w:rPr>
          <w:rFonts w:hint="eastAsia"/>
        </w:rPr>
        <w:t>技术风险主要包括技术目标过高，技术标准发生变化，复杂、高新技术或非常规方法应用的潜在问题等。</w:t>
      </w:r>
    </w:p>
    <w:p>
      <w:pPr>
        <w:ind w:firstLine="480"/>
      </w:pPr>
      <w:r>
        <w:rPr>
          <w:rFonts w:hint="eastAsia"/>
        </w:rPr>
        <w:t>本系统涉及到各类数据信息和数据资源，在数据应用过程中存在一定的安全风险，包括非法窃取、越权访问、数据泄露风险，数据丢失风险等。</w:t>
      </w:r>
    </w:p>
    <w:p>
      <w:pPr>
        <w:pStyle w:val="5"/>
        <w:bidi w:val="0"/>
      </w:pPr>
      <w:bookmarkStart w:id="383" w:name="_Toc28860"/>
      <w:bookmarkStart w:id="384" w:name="_Toc79310363"/>
      <w:r>
        <w:rPr>
          <w:rFonts w:hint="eastAsia"/>
        </w:rPr>
        <w:t>风险对策</w:t>
      </w:r>
      <w:bookmarkEnd w:id="383"/>
      <w:bookmarkEnd w:id="384"/>
    </w:p>
    <w:p>
      <w:pPr>
        <w:ind w:firstLine="480"/>
      </w:pPr>
      <w:r>
        <w:rPr>
          <w:rFonts w:hint="eastAsia"/>
        </w:rPr>
        <w:t>为确保工程成功，将在本项目建设中采取有效的风险管理，消除各类风险的不良影响，确保实现工程建设目标。</w:t>
      </w:r>
    </w:p>
    <w:p>
      <w:pPr>
        <w:ind w:firstLine="480"/>
      </w:pPr>
      <w:r>
        <w:rPr>
          <w:rFonts w:hint="eastAsia"/>
        </w:rPr>
        <w:t>本项目的风险防范主要侧重于系统运行风险、操作风险和技术及信息安全风险三个方面。</w:t>
      </w:r>
    </w:p>
    <w:p>
      <w:pPr>
        <w:pStyle w:val="6"/>
        <w:bidi w:val="0"/>
      </w:pPr>
      <w:bookmarkStart w:id="385" w:name="_Toc79310364"/>
      <w:r>
        <w:rPr>
          <w:rFonts w:hint="eastAsia"/>
        </w:rPr>
        <w:t>系统运行风险对策</w:t>
      </w:r>
      <w:bookmarkEnd w:id="385"/>
    </w:p>
    <w:p>
      <w:pPr>
        <w:ind w:firstLine="480"/>
      </w:pPr>
      <w:r>
        <w:rPr>
          <w:rFonts w:hint="eastAsia"/>
        </w:rPr>
        <w:t>针对系统运行风险，应该加强对系统运行环境的监管，设置定时自动排查系统运行环境的机制，加强灾难性控制，保证有灾难事件发生时，系统能够快速恢复工作。同时良好的安全政策和计划可以预防由于蓄意破坏或误操作引起的灾难。计算机设备及其备份的数据要放置在建筑物中最难以被自然灾害以及恶意破坏者破坏的地点。灾难备份体系必须作为计算机安全措施的一个重要组成部分。</w:t>
      </w:r>
    </w:p>
    <w:p>
      <w:pPr>
        <w:pStyle w:val="6"/>
        <w:bidi w:val="0"/>
      </w:pPr>
      <w:bookmarkStart w:id="386" w:name="_Toc79310365"/>
      <w:r>
        <w:rPr>
          <w:rFonts w:hint="eastAsia"/>
        </w:rPr>
        <w:t>操作风险对策</w:t>
      </w:r>
      <w:bookmarkEnd w:id="386"/>
    </w:p>
    <w:p>
      <w:pPr>
        <w:ind w:firstLine="480"/>
      </w:pPr>
      <w:r>
        <w:rPr>
          <w:rFonts w:hint="eastAsia"/>
        </w:rPr>
        <w:t>为确保操作人员能够规范操作应该加强操作人员的培训和管理，加强内部控制，健全电子数据处理的内部控制系统和备份管理系统，避免整个系统数据丢失造成巨大的损失。</w:t>
      </w:r>
    </w:p>
    <w:p>
      <w:pPr>
        <w:pStyle w:val="6"/>
        <w:bidi w:val="0"/>
      </w:pPr>
      <w:bookmarkStart w:id="387" w:name="_Toc79310366"/>
      <w:r>
        <w:rPr>
          <w:rFonts w:hint="eastAsia"/>
        </w:rPr>
        <w:t>技术及信息安全风险防范对策</w:t>
      </w:r>
      <w:bookmarkEnd w:id="387"/>
    </w:p>
    <w:p>
      <w:pPr>
        <w:ind w:firstLine="480"/>
      </w:pPr>
      <w:r>
        <w:rPr>
          <w:rFonts w:hint="eastAsia"/>
        </w:rPr>
        <w:t>全面落实信息系统安全体系，尽快全面组织落实本项目安全体系方案。对本项目各应用系统，强制要求按照安全设计方案的要求，采用身份认证，对重要数据进行加密、监管，加强安全记录和审计。</w:t>
      </w:r>
    </w:p>
    <w:p>
      <w:pPr>
        <w:ind w:firstLine="480"/>
      </w:pPr>
      <w:r>
        <w:rPr>
          <w:rFonts w:hint="eastAsia"/>
        </w:rPr>
        <w:t>加强安全防范意识，并采取如下有效的安全技术手段：</w:t>
      </w:r>
    </w:p>
    <w:p>
      <w:pPr>
        <w:ind w:firstLine="480"/>
      </w:pPr>
      <w:r>
        <w:rPr>
          <w:rFonts w:hint="eastAsia"/>
        </w:rPr>
        <w:t>（1）物理措施。保护网络关键设备（如交换机、大型计算机等），制定严格的网络安全规章制度,采取防辐射、防火以及安装不间断电源（UPS）等措施。</w:t>
      </w:r>
    </w:p>
    <w:p>
      <w:pPr>
        <w:ind w:firstLine="480"/>
      </w:pPr>
      <w:r>
        <w:rPr>
          <w:rFonts w:hint="eastAsia"/>
        </w:rPr>
        <w:t>（2）访问控制。对用户访问网络资源的权限进行严格的认证和控制。设置用户访问目录和文件的权限,控制网络设备配置的权限,等等。</w:t>
      </w:r>
    </w:p>
    <w:p>
      <w:pPr>
        <w:ind w:firstLine="480"/>
      </w:pPr>
      <w:r>
        <w:rPr>
          <w:rFonts w:hint="eastAsia"/>
        </w:rPr>
        <w:t>（3）增加其它技术性措施。如数据加密、防火墙、漏洞扫描、入侵检测、数据处理功能保护、数据备份等。</w:t>
      </w:r>
    </w:p>
    <w:p>
      <w:r>
        <w:rPr>
          <w:rFonts w:hint="eastAsia"/>
        </w:rPr>
        <w:t>以严格的管理使技术措施发挥作用，以技术手段强化安全管理，使管理钢性化，形成威慑，不给不法分子以可乘之机，严防各类安全事件的发生。</w:t>
      </w:r>
    </w:p>
    <w:p>
      <w:pPr>
        <w:pStyle w:val="4"/>
        <w:rPr>
          <w:color w:val="000000" w:themeColor="text1"/>
          <w14:textFill>
            <w14:solidFill>
              <w14:schemeClr w14:val="tx1"/>
            </w14:solidFill>
          </w14:textFill>
        </w:rPr>
      </w:pPr>
      <w:bookmarkStart w:id="388" w:name="_Toc31868"/>
      <w:bookmarkStart w:id="389" w:name="_Toc27680582"/>
      <w:bookmarkStart w:id="390" w:name="_Toc27936059"/>
      <w:r>
        <w:rPr>
          <w:rFonts w:hint="eastAsia"/>
          <w:color w:val="000000" w:themeColor="text1"/>
          <w14:textFill>
            <w14:solidFill>
              <w14:schemeClr w14:val="tx1"/>
            </w14:solidFill>
          </w14:textFill>
        </w:rPr>
        <w:t>项目售后服务</w:t>
      </w:r>
      <w:bookmarkEnd w:id="388"/>
      <w:bookmarkEnd w:id="389"/>
      <w:bookmarkEnd w:id="390"/>
    </w:p>
    <w:p>
      <w:pPr>
        <w:rPr>
          <w:rFonts w:hint="eastAsia"/>
        </w:rPr>
      </w:pPr>
      <w:r>
        <w:rPr>
          <w:rFonts w:hint="eastAsia"/>
        </w:rPr>
        <w:t>项目承建单位将为本项目提供自项目验收通过之日起</w:t>
      </w:r>
      <w:r>
        <w:rPr>
          <w:rFonts w:hint="eastAsia"/>
          <w:lang w:val="en-US" w:eastAsia="zh-CN"/>
        </w:rPr>
        <w:t>三</w:t>
      </w:r>
      <w:r>
        <w:rPr>
          <w:rFonts w:hint="eastAsia"/>
        </w:rPr>
        <w:t>年的免费售后服务。</w:t>
      </w:r>
    </w:p>
    <w:p>
      <w:pPr>
        <w:pStyle w:val="5"/>
        <w:bidi w:val="0"/>
        <w:rPr>
          <w:rFonts w:hint="eastAsia" w:cs="宋体"/>
          <w:lang w:val="en-US" w:eastAsia="zh-CN"/>
        </w:rPr>
      </w:pPr>
      <w:bookmarkStart w:id="391" w:name="_Toc624"/>
      <w:r>
        <w:rPr>
          <w:rFonts w:hint="eastAsia" w:cs="宋体"/>
          <w:lang w:val="en-US" w:eastAsia="zh-CN"/>
        </w:rPr>
        <w:t>运营服务技术支持和响应</w:t>
      </w:r>
      <w:bookmarkEnd w:id="391"/>
    </w:p>
    <w:p>
      <w:pPr>
        <w:ind w:firstLine="480"/>
        <w:rPr>
          <w:rFonts w:hint="eastAsia" w:ascii="宋体" w:hAnsi="宋体" w:eastAsia="宋体" w:cs="宋体"/>
          <w:b/>
          <w:bCs/>
        </w:rPr>
      </w:pPr>
      <w:r>
        <w:rPr>
          <w:rFonts w:hint="eastAsia" w:ascii="宋体" w:hAnsi="宋体" w:eastAsia="宋体" w:cs="宋体"/>
          <w:b/>
          <w:bCs/>
        </w:rPr>
        <w:t>（1）本地化技术支持服务。</w:t>
      </w:r>
    </w:p>
    <w:p>
      <w:pPr>
        <w:numPr>
          <w:ilvl w:val="0"/>
          <w:numId w:val="35"/>
        </w:numPr>
        <w:ind w:left="900" w:leftChars="0" w:hanging="420" w:firstLineChars="0"/>
        <w:rPr>
          <w:rFonts w:hint="eastAsia" w:ascii="宋体" w:hAnsi="宋体" w:eastAsia="宋体" w:cs="宋体"/>
        </w:rPr>
      </w:pPr>
      <w:r>
        <w:rPr>
          <w:rFonts w:hint="eastAsia" w:ascii="宋体" w:hAnsi="宋体" w:eastAsia="宋体" w:cs="宋体"/>
        </w:rPr>
        <w:t>客服提供7×24小时服务</w:t>
      </w:r>
    </w:p>
    <w:p>
      <w:pPr>
        <w:ind w:firstLine="480"/>
        <w:rPr>
          <w:rFonts w:hint="eastAsia" w:ascii="宋体" w:hAnsi="宋体" w:eastAsia="宋体" w:cs="宋体"/>
        </w:rPr>
      </w:pPr>
      <w:r>
        <w:rPr>
          <w:rFonts w:hint="eastAsia" w:ascii="宋体" w:hAnsi="宋体" w:eastAsia="宋体" w:cs="宋体"/>
        </w:rPr>
        <w:t>消费者可以通过不同方式向客户服务响应中心提出服务申报。如：通过电话、传真、信函、E-mail、来访。客户服务中心由专人值守，在下班后，用户可以直接拨打项目总联系人或客户服务响应中心负责人手机，</w:t>
      </w:r>
      <w:r>
        <w:rPr>
          <w:rFonts w:hint="eastAsia" w:cs="宋体"/>
          <w:lang w:val="en-US" w:eastAsia="zh-CN"/>
        </w:rPr>
        <w:t>承建方</w:t>
      </w:r>
      <w:r>
        <w:rPr>
          <w:rFonts w:hint="eastAsia" w:ascii="宋体" w:hAnsi="宋体" w:eastAsia="宋体" w:cs="宋体"/>
        </w:rPr>
        <w:t>保证用户的问题在任何时间都能得到及时的响应。</w:t>
      </w:r>
    </w:p>
    <w:p>
      <w:pPr>
        <w:numPr>
          <w:ilvl w:val="0"/>
          <w:numId w:val="35"/>
        </w:numPr>
        <w:ind w:left="900" w:leftChars="0" w:hanging="420" w:firstLineChars="0"/>
        <w:rPr>
          <w:rFonts w:hint="eastAsia" w:ascii="宋体" w:hAnsi="宋体" w:eastAsia="宋体" w:cs="宋体"/>
        </w:rPr>
      </w:pPr>
      <w:r>
        <w:rPr>
          <w:rFonts w:hint="eastAsia" w:ascii="宋体" w:hAnsi="宋体" w:eastAsia="宋体" w:cs="宋体"/>
        </w:rPr>
        <w:t>1小时电话响应</w:t>
      </w:r>
    </w:p>
    <w:p>
      <w:pPr>
        <w:ind w:firstLine="480"/>
        <w:rPr>
          <w:rFonts w:hint="eastAsia" w:ascii="宋体" w:hAnsi="宋体" w:eastAsia="宋体" w:cs="宋体"/>
        </w:rPr>
      </w:pPr>
      <w:r>
        <w:rPr>
          <w:rFonts w:hint="eastAsia" w:ascii="宋体" w:hAnsi="宋体" w:eastAsia="宋体" w:cs="宋体"/>
        </w:rPr>
        <w:t>服务商为用户提供7*24小时技术服务热线，负责解答用户在产品使用中遇到的问题，并及时提出解决问题的建议和操作方法。如遇严重问题将在接到用户的报修请求后的1小时内，安排专人与用户电话具体联系，确定上门运维事宜，4小时内恢复修复或提供采购人认可的替代品或软件解决方案。</w:t>
      </w:r>
    </w:p>
    <w:p>
      <w:pPr>
        <w:numPr>
          <w:ilvl w:val="0"/>
          <w:numId w:val="35"/>
        </w:numPr>
        <w:ind w:left="900" w:leftChars="0" w:hanging="420" w:firstLineChars="0"/>
        <w:rPr>
          <w:rFonts w:hint="eastAsia" w:ascii="宋体" w:hAnsi="宋体" w:eastAsia="宋体" w:cs="宋体"/>
        </w:rPr>
      </w:pPr>
      <w:r>
        <w:rPr>
          <w:rFonts w:hint="eastAsia" w:ascii="宋体" w:hAnsi="宋体" w:eastAsia="宋体" w:cs="宋体"/>
        </w:rPr>
        <w:t>定期巡检</w:t>
      </w:r>
    </w:p>
    <w:p>
      <w:pPr>
        <w:ind w:firstLine="480"/>
        <w:rPr>
          <w:rFonts w:hint="eastAsia" w:ascii="宋体" w:hAnsi="宋体" w:eastAsia="宋体" w:cs="宋体"/>
        </w:rPr>
      </w:pPr>
      <w:r>
        <w:rPr>
          <w:rFonts w:hint="eastAsia" w:ascii="宋体" w:hAnsi="宋体" w:eastAsia="宋体" w:cs="宋体"/>
        </w:rPr>
        <w:t>提供每月一次的各服务站点巡查服务。</w:t>
      </w:r>
    </w:p>
    <w:p>
      <w:pPr>
        <w:numPr>
          <w:ilvl w:val="0"/>
          <w:numId w:val="35"/>
        </w:numPr>
        <w:ind w:left="900" w:leftChars="0" w:hanging="420" w:firstLineChars="0"/>
        <w:rPr>
          <w:rFonts w:hint="eastAsia" w:ascii="宋体" w:hAnsi="宋体" w:eastAsia="宋体" w:cs="宋体"/>
        </w:rPr>
      </w:pPr>
      <w:r>
        <w:rPr>
          <w:rFonts w:hint="eastAsia" w:ascii="宋体" w:hAnsi="宋体" w:eastAsia="宋体" w:cs="宋体"/>
        </w:rPr>
        <w:t>及时通知服务</w:t>
      </w:r>
    </w:p>
    <w:p>
      <w:pPr>
        <w:ind w:firstLine="480"/>
        <w:rPr>
          <w:rFonts w:hint="eastAsia" w:ascii="宋体" w:hAnsi="宋体" w:eastAsia="宋体" w:cs="宋体"/>
        </w:rPr>
      </w:pPr>
      <w:r>
        <w:rPr>
          <w:rFonts w:hint="eastAsia" w:ascii="宋体" w:hAnsi="宋体" w:eastAsia="宋体" w:cs="宋体"/>
        </w:rPr>
        <w:t>服务商提出的及时通知服务，是把服务商刚刚发现的关键问题提前告知您。通过及时通知使您在遇到运营服务中及时处理，使用户防患于未然。</w:t>
      </w:r>
    </w:p>
    <w:p>
      <w:pPr>
        <w:ind w:firstLine="480"/>
        <w:rPr>
          <w:rFonts w:hint="eastAsia" w:ascii="宋体" w:hAnsi="宋体" w:eastAsia="宋体" w:cs="宋体"/>
          <w:b/>
          <w:bCs/>
        </w:rPr>
      </w:pPr>
      <w:r>
        <w:rPr>
          <w:rFonts w:hint="eastAsia" w:ascii="宋体" w:hAnsi="宋体" w:eastAsia="宋体" w:cs="宋体"/>
          <w:b/>
          <w:bCs/>
        </w:rPr>
        <w:t>（2）定期走访、回访与关怀服务</w:t>
      </w:r>
    </w:p>
    <w:p>
      <w:pPr>
        <w:numPr>
          <w:ilvl w:val="0"/>
          <w:numId w:val="35"/>
        </w:numPr>
        <w:ind w:left="900" w:leftChars="0" w:hanging="420" w:firstLineChars="0"/>
        <w:rPr>
          <w:rFonts w:hint="eastAsia" w:ascii="宋体" w:hAnsi="宋体" w:eastAsia="宋体" w:cs="宋体"/>
        </w:rPr>
      </w:pPr>
      <w:r>
        <w:rPr>
          <w:rFonts w:hint="eastAsia" w:ascii="宋体" w:hAnsi="宋体" w:eastAsia="宋体" w:cs="宋体"/>
        </w:rPr>
        <w:t>定期走访</w:t>
      </w:r>
    </w:p>
    <w:p>
      <w:pPr>
        <w:ind w:firstLine="480"/>
        <w:rPr>
          <w:rFonts w:hint="eastAsia" w:ascii="宋体" w:hAnsi="宋体" w:eastAsia="宋体" w:cs="宋体"/>
        </w:rPr>
      </w:pPr>
      <w:r>
        <w:rPr>
          <w:rFonts w:hint="eastAsia" w:ascii="宋体" w:hAnsi="宋体" w:eastAsia="宋体" w:cs="宋体"/>
        </w:rPr>
        <w:t>服务商将采取巡检制度，每季度由服务商领导带队拜访服务站点及消费者，了解产品的质量、服务问题，调查实施和维护情况，听取消费者及服务站点意见，现场帮助服务站点及贫</w:t>
      </w:r>
      <w:r>
        <w:rPr>
          <w:rFonts w:hint="eastAsia" w:cs="宋体"/>
          <w:lang w:val="en-US" w:eastAsia="zh-CN"/>
        </w:rPr>
        <w:t>困</w:t>
      </w:r>
      <w:r>
        <w:rPr>
          <w:rFonts w:hint="eastAsia" w:ascii="宋体" w:hAnsi="宋体" w:eastAsia="宋体" w:cs="宋体"/>
        </w:rPr>
        <w:t>户解决实际应用中的问题，及时协调各部门的分工协作以期提供全面的服务与支持。并依此作为服务商服务人员的综合评定和奖惩的重要依据和指标。</w:t>
      </w:r>
    </w:p>
    <w:p>
      <w:pPr>
        <w:numPr>
          <w:ilvl w:val="0"/>
          <w:numId w:val="35"/>
        </w:numPr>
        <w:ind w:left="900" w:leftChars="0" w:hanging="420" w:firstLineChars="0"/>
        <w:rPr>
          <w:rFonts w:hint="eastAsia" w:ascii="宋体" w:hAnsi="宋体" w:eastAsia="宋体" w:cs="宋体"/>
        </w:rPr>
      </w:pPr>
      <w:r>
        <w:rPr>
          <w:rFonts w:hint="eastAsia" w:ascii="宋体" w:hAnsi="宋体" w:eastAsia="宋体" w:cs="宋体"/>
        </w:rPr>
        <w:t>电话回访</w:t>
      </w:r>
    </w:p>
    <w:p>
      <w:pPr>
        <w:ind w:firstLine="480"/>
        <w:rPr>
          <w:rFonts w:hint="eastAsia" w:ascii="宋体" w:hAnsi="宋体" w:eastAsia="宋体" w:cs="宋体"/>
        </w:rPr>
      </w:pPr>
      <w:r>
        <w:rPr>
          <w:rFonts w:hint="eastAsia" w:ascii="宋体" w:hAnsi="宋体" w:eastAsia="宋体" w:cs="宋体"/>
        </w:rPr>
        <w:t>对每一个客诉请求，服务商都将有回访专员进行电话回访，征询用户需求的解决情况以及对服务的满意度情况，在对客户进行关怀服务的同时，相关人员的服务质量，并作为服务工程师重要的考评指标。</w:t>
      </w:r>
    </w:p>
    <w:p>
      <w:pPr>
        <w:numPr>
          <w:ilvl w:val="0"/>
          <w:numId w:val="35"/>
        </w:numPr>
        <w:ind w:left="900" w:leftChars="0" w:hanging="420" w:firstLineChars="0"/>
        <w:rPr>
          <w:rFonts w:hint="eastAsia" w:ascii="宋体" w:hAnsi="宋体" w:eastAsia="宋体" w:cs="宋体"/>
        </w:rPr>
      </w:pPr>
      <w:r>
        <w:rPr>
          <w:rFonts w:hint="eastAsia" w:ascii="宋体" w:hAnsi="宋体" w:eastAsia="宋体" w:cs="宋体"/>
        </w:rPr>
        <w:t>提供长期技术咨询服务</w:t>
      </w:r>
    </w:p>
    <w:p>
      <w:pPr>
        <w:ind w:firstLine="480"/>
        <w:rPr>
          <w:rFonts w:hint="eastAsia" w:ascii="宋体" w:hAnsi="宋体" w:eastAsia="宋体" w:cs="宋体"/>
        </w:rPr>
      </w:pPr>
      <w:r>
        <w:rPr>
          <w:rFonts w:hint="eastAsia" w:ascii="宋体" w:hAnsi="宋体" w:eastAsia="宋体" w:cs="宋体"/>
        </w:rPr>
        <w:t>服务商将提供给用户方一份详细的技术咨询联系办法，客户可以随时通过电话、传真、书函以及电子邮件等各种灵活的通讯手段向服务商进行技术咨询。根据具体的需求情况通过电话、MAIL、或指派工程师与用户进行直接沟通，以圆满解决用户的问题。</w:t>
      </w:r>
    </w:p>
    <w:p>
      <w:pPr>
        <w:pStyle w:val="5"/>
        <w:bidi w:val="0"/>
        <w:rPr>
          <w:rFonts w:hint="eastAsia" w:cs="宋体"/>
          <w:lang w:val="en-US" w:eastAsia="zh-CN"/>
        </w:rPr>
      </w:pPr>
      <w:bookmarkStart w:id="392" w:name="_Toc37628417"/>
      <w:bookmarkStart w:id="393" w:name="_Toc2923"/>
      <w:bookmarkStart w:id="394" w:name="_Toc37889194"/>
      <w:r>
        <w:rPr>
          <w:rFonts w:hint="eastAsia" w:cs="宋体"/>
          <w:lang w:val="en-US" w:eastAsia="zh-CN"/>
        </w:rPr>
        <w:t>响应服务流程</w:t>
      </w:r>
      <w:bookmarkEnd w:id="392"/>
      <w:bookmarkEnd w:id="393"/>
      <w:bookmarkEnd w:id="394"/>
    </w:p>
    <w:p>
      <w:pPr>
        <w:ind w:firstLine="480"/>
        <w:rPr>
          <w:rFonts w:hint="eastAsia" w:ascii="宋体" w:hAnsi="宋体" w:eastAsia="宋体" w:cs="宋体"/>
          <w:b/>
          <w:bCs/>
        </w:rPr>
      </w:pPr>
      <w:r>
        <w:rPr>
          <w:rFonts w:hint="eastAsia" w:ascii="宋体" w:hAnsi="宋体" w:eastAsia="宋体" w:cs="宋体"/>
          <w:b/>
          <w:bCs/>
        </w:rPr>
        <w:t>（1）接受服务请求</w:t>
      </w:r>
    </w:p>
    <w:p>
      <w:pPr>
        <w:ind w:firstLine="480"/>
        <w:rPr>
          <w:rFonts w:hint="eastAsia" w:ascii="宋体" w:hAnsi="宋体" w:eastAsia="宋体" w:cs="宋体"/>
        </w:rPr>
      </w:pPr>
      <w:r>
        <w:rPr>
          <w:rFonts w:hint="eastAsia" w:ascii="宋体" w:hAnsi="宋体" w:eastAsia="宋体" w:cs="宋体"/>
        </w:rPr>
        <w:t>接听电话使用礼貌用语，详细倾听用户要求并作好记录。</w:t>
      </w:r>
    </w:p>
    <w:p>
      <w:pPr>
        <w:ind w:firstLine="480"/>
        <w:rPr>
          <w:rFonts w:hint="eastAsia" w:ascii="宋体" w:hAnsi="宋体" w:eastAsia="宋体" w:cs="宋体"/>
        </w:rPr>
      </w:pPr>
      <w:r>
        <w:rPr>
          <w:rFonts w:hint="eastAsia" w:ascii="宋体" w:hAnsi="宋体" w:eastAsia="宋体" w:cs="宋体"/>
        </w:rPr>
        <w:t>只要是服务范围内的事情，即使受话人不清楚，也应受理用户要求，详细记录用户联系方式后立刻查询办理部门或处理人，确保当事人尽快与用户联系。</w:t>
      </w:r>
    </w:p>
    <w:p>
      <w:pPr>
        <w:ind w:firstLine="480"/>
        <w:rPr>
          <w:rFonts w:hint="eastAsia" w:ascii="宋体" w:hAnsi="宋体" w:eastAsia="宋体" w:cs="宋体"/>
        </w:rPr>
      </w:pPr>
      <w:r>
        <w:rPr>
          <w:rFonts w:hint="eastAsia" w:ascii="宋体" w:hAnsi="宋体" w:eastAsia="宋体" w:cs="宋体"/>
        </w:rPr>
        <w:t>即使不属受理范围也应向用户解释清楚理由，可能的话提供线索请用户另行联系。</w:t>
      </w:r>
    </w:p>
    <w:p>
      <w:pPr>
        <w:ind w:firstLine="480"/>
        <w:rPr>
          <w:rFonts w:hint="eastAsia" w:ascii="宋体" w:hAnsi="宋体" w:eastAsia="宋体" w:cs="宋体"/>
          <w:b/>
          <w:bCs/>
        </w:rPr>
      </w:pPr>
      <w:r>
        <w:rPr>
          <w:rFonts w:hint="eastAsia" w:ascii="宋体" w:hAnsi="宋体" w:eastAsia="宋体" w:cs="宋体"/>
          <w:b/>
          <w:bCs/>
        </w:rPr>
        <w:t>（2）现场服务</w:t>
      </w:r>
    </w:p>
    <w:p>
      <w:pPr>
        <w:ind w:firstLine="480"/>
        <w:rPr>
          <w:rFonts w:hint="eastAsia" w:ascii="宋体" w:hAnsi="宋体" w:eastAsia="宋体" w:cs="宋体"/>
        </w:rPr>
      </w:pPr>
      <w:r>
        <w:rPr>
          <w:rFonts w:hint="eastAsia" w:ascii="宋体" w:hAnsi="宋体" w:eastAsia="宋体" w:cs="宋体"/>
        </w:rPr>
        <w:t>到达现场后主动与用户联系，必要时应得到用户同意后方可作业。</w:t>
      </w:r>
    </w:p>
    <w:p>
      <w:pPr>
        <w:ind w:firstLine="480"/>
        <w:rPr>
          <w:rFonts w:hint="eastAsia" w:ascii="宋体" w:hAnsi="宋体" w:eastAsia="宋体" w:cs="宋体"/>
        </w:rPr>
      </w:pPr>
      <w:r>
        <w:rPr>
          <w:rFonts w:hint="eastAsia" w:ascii="宋体" w:hAnsi="宋体" w:eastAsia="宋体" w:cs="宋体"/>
        </w:rPr>
        <w:t>现场服务遇到困难时，应及时向上级报告，调用资源继续提供服务，在最短的时间内将用户损失减少到最小。</w:t>
      </w:r>
    </w:p>
    <w:p>
      <w:pPr>
        <w:ind w:firstLine="480"/>
        <w:rPr>
          <w:rFonts w:hint="eastAsia" w:ascii="宋体" w:hAnsi="宋体" w:eastAsia="宋体" w:cs="宋体"/>
        </w:rPr>
      </w:pPr>
      <w:r>
        <w:rPr>
          <w:rFonts w:hint="eastAsia" w:ascii="宋体" w:hAnsi="宋体" w:eastAsia="宋体" w:cs="宋体"/>
        </w:rPr>
        <w:t>服务结束前做好作业现场的整理、清扫、清洁工作。</w:t>
      </w:r>
    </w:p>
    <w:p>
      <w:pPr>
        <w:ind w:firstLine="480"/>
        <w:rPr>
          <w:rFonts w:hint="eastAsia" w:ascii="宋体" w:hAnsi="宋体" w:eastAsia="宋体" w:cs="宋体"/>
        </w:rPr>
      </w:pPr>
      <w:r>
        <w:rPr>
          <w:rFonts w:hint="eastAsia" w:ascii="宋体" w:hAnsi="宋体" w:eastAsia="宋体" w:cs="宋体"/>
        </w:rPr>
        <w:t>服务结束后请用户签名确认所提供服务的质量和结果。</w:t>
      </w:r>
    </w:p>
    <w:p>
      <w:pPr>
        <w:ind w:firstLine="480"/>
        <w:rPr>
          <w:rFonts w:hint="eastAsia" w:ascii="宋体" w:hAnsi="宋体" w:eastAsia="宋体" w:cs="宋体"/>
          <w:b/>
          <w:bCs/>
        </w:rPr>
      </w:pPr>
      <w:r>
        <w:rPr>
          <w:rFonts w:hint="eastAsia" w:ascii="宋体" w:hAnsi="宋体" w:eastAsia="宋体" w:cs="宋体"/>
          <w:b/>
          <w:bCs/>
        </w:rPr>
        <w:t>（3）异议处理</w:t>
      </w:r>
    </w:p>
    <w:p>
      <w:pPr>
        <w:ind w:firstLine="480"/>
        <w:rPr>
          <w:rFonts w:hint="eastAsia" w:ascii="宋体" w:hAnsi="宋体" w:eastAsia="宋体" w:cs="宋体"/>
        </w:rPr>
      </w:pPr>
      <w:r>
        <w:rPr>
          <w:rFonts w:hint="eastAsia" w:ascii="宋体" w:hAnsi="宋体" w:eastAsia="宋体" w:cs="宋体"/>
        </w:rPr>
        <w:t>因种种原因延误了与用户约定的处理期限时，主动与用户沟通并采取弥补措施取得用户的理解和支持，日后再查责任防止类似事件的再次发生。</w:t>
      </w:r>
    </w:p>
    <w:p>
      <w:pPr>
        <w:ind w:firstLine="480"/>
        <w:rPr>
          <w:rFonts w:hint="eastAsia" w:ascii="宋体" w:hAnsi="宋体" w:eastAsia="宋体" w:cs="宋体"/>
        </w:rPr>
      </w:pPr>
      <w:r>
        <w:rPr>
          <w:rFonts w:hint="eastAsia" w:ascii="宋体" w:hAnsi="宋体" w:eastAsia="宋体" w:cs="宋体"/>
        </w:rPr>
        <w:t>对用户的投诉必须100％得到处理，并跟踪纠正预防措施的实施结果，实行闭环控制。</w:t>
      </w:r>
    </w:p>
    <w:p>
      <w:pPr>
        <w:pStyle w:val="5"/>
        <w:bidi w:val="0"/>
        <w:rPr>
          <w:rFonts w:hint="eastAsia" w:cs="宋体"/>
          <w:lang w:val="en-US" w:eastAsia="zh-CN"/>
        </w:rPr>
      </w:pPr>
      <w:bookmarkStart w:id="395" w:name="_Toc37889197"/>
      <w:bookmarkStart w:id="396" w:name="_Toc7331"/>
      <w:r>
        <w:rPr>
          <w:rFonts w:hint="eastAsia" w:cs="宋体"/>
          <w:lang w:val="en-US" w:eastAsia="zh-CN"/>
        </w:rPr>
        <w:t>售后服务体系</w:t>
      </w:r>
      <w:bookmarkEnd w:id="395"/>
      <w:bookmarkEnd w:id="396"/>
    </w:p>
    <w:p>
      <w:pPr>
        <w:pStyle w:val="6"/>
        <w:bidi w:val="0"/>
        <w:rPr>
          <w:rFonts w:hint="eastAsia"/>
          <w:lang w:val="en-US" w:eastAsia="zh-CN"/>
        </w:rPr>
      </w:pPr>
      <w:bookmarkStart w:id="397" w:name="_Toc31403"/>
      <w:r>
        <w:rPr>
          <w:rFonts w:hint="eastAsia"/>
          <w:lang w:val="en-US" w:eastAsia="zh-CN"/>
        </w:rPr>
        <w:t>售后服务各职能结构职责</w:t>
      </w:r>
      <w:bookmarkEnd w:id="397"/>
    </w:p>
    <w:p>
      <w:pPr>
        <w:numPr>
          <w:ilvl w:val="0"/>
          <w:numId w:val="36"/>
        </w:numPr>
        <w:ind w:firstLine="480"/>
        <w:rPr>
          <w:rFonts w:hint="eastAsia" w:ascii="宋体" w:hAnsi="宋体" w:eastAsia="宋体" w:cs="宋体"/>
        </w:rPr>
      </w:pPr>
      <w:r>
        <w:rPr>
          <w:rFonts w:hint="eastAsia" w:ascii="宋体" w:hAnsi="宋体" w:eastAsia="宋体" w:cs="宋体"/>
        </w:rPr>
        <w:t>分管副总：人事、行政、制度决策。</w:t>
      </w:r>
    </w:p>
    <w:p>
      <w:pPr>
        <w:numPr>
          <w:ilvl w:val="0"/>
          <w:numId w:val="36"/>
        </w:numPr>
        <w:ind w:left="0" w:leftChars="0" w:firstLine="480" w:firstLineChars="200"/>
        <w:rPr>
          <w:rFonts w:hint="eastAsia" w:ascii="宋体" w:hAnsi="宋体" w:eastAsia="宋体" w:cs="宋体"/>
        </w:rPr>
      </w:pPr>
      <w:r>
        <w:rPr>
          <w:rFonts w:hint="eastAsia" w:ascii="宋体" w:hAnsi="宋体" w:eastAsia="宋体" w:cs="宋体"/>
        </w:rPr>
        <w:t>部门经理：管理部门日常事务，制定并监控部门规范及标准流程的执行。</w:t>
      </w:r>
    </w:p>
    <w:p>
      <w:pPr>
        <w:ind w:firstLine="480"/>
        <w:rPr>
          <w:rFonts w:hint="eastAsia" w:ascii="宋体" w:hAnsi="宋体" w:eastAsia="宋体" w:cs="宋体"/>
        </w:rPr>
      </w:pPr>
      <w:r>
        <w:rPr>
          <w:rFonts w:hint="eastAsia" w:ascii="宋体" w:hAnsi="宋体" w:eastAsia="宋体" w:cs="宋体"/>
        </w:rPr>
        <w:t>（3）服务支撑中心：负责一线售后服务工程师的技术指导及培训。</w:t>
      </w:r>
    </w:p>
    <w:p>
      <w:pPr>
        <w:ind w:firstLine="480"/>
        <w:rPr>
          <w:rFonts w:hint="eastAsia" w:ascii="宋体" w:hAnsi="宋体" w:eastAsia="宋体" w:cs="宋体"/>
        </w:rPr>
      </w:pPr>
      <w:r>
        <w:rPr>
          <w:rFonts w:hint="eastAsia" w:ascii="宋体" w:hAnsi="宋体" w:eastAsia="宋体" w:cs="宋体"/>
        </w:rPr>
        <w:t>（4）服务质量监督小组</w:t>
      </w:r>
    </w:p>
    <w:p>
      <w:pPr>
        <w:ind w:firstLine="480"/>
        <w:rPr>
          <w:rFonts w:hint="eastAsia" w:ascii="宋体" w:hAnsi="宋体" w:eastAsia="宋体" w:cs="宋体"/>
        </w:rPr>
      </w:pPr>
      <w:r>
        <w:rPr>
          <w:rFonts w:hint="eastAsia" w:ascii="宋体" w:hAnsi="宋体" w:eastAsia="宋体" w:cs="宋体"/>
        </w:rPr>
        <w:t>售后服务回访，服务质量评测、考核。</w:t>
      </w:r>
    </w:p>
    <w:p>
      <w:pPr>
        <w:ind w:firstLine="480"/>
        <w:rPr>
          <w:rFonts w:hint="eastAsia" w:ascii="宋体" w:hAnsi="宋体" w:eastAsia="宋体" w:cs="宋体"/>
        </w:rPr>
      </w:pPr>
      <w:r>
        <w:rPr>
          <w:rFonts w:hint="eastAsia" w:ascii="宋体" w:hAnsi="宋体" w:eastAsia="宋体" w:cs="宋体"/>
        </w:rPr>
        <w:t>（5）维护项目部</w:t>
      </w:r>
    </w:p>
    <w:p>
      <w:pPr>
        <w:ind w:firstLine="480"/>
        <w:rPr>
          <w:rFonts w:hint="eastAsia" w:ascii="宋体" w:hAnsi="宋体" w:eastAsia="宋体" w:cs="宋体"/>
        </w:rPr>
      </w:pPr>
      <w:r>
        <w:rPr>
          <w:rFonts w:hint="eastAsia" w:ascii="宋体" w:hAnsi="宋体" w:eastAsia="宋体" w:cs="宋体"/>
        </w:rPr>
        <w:t>基础产品维护项目组：打印类、查询类基础产品的日常售后服务工作管理。</w:t>
      </w:r>
    </w:p>
    <w:p>
      <w:pPr>
        <w:ind w:firstLine="480"/>
        <w:rPr>
          <w:rFonts w:hint="eastAsia" w:ascii="宋体" w:hAnsi="宋体" w:eastAsia="宋体" w:cs="宋体"/>
        </w:rPr>
      </w:pPr>
      <w:r>
        <w:rPr>
          <w:rFonts w:hint="eastAsia" w:ascii="宋体" w:hAnsi="宋体" w:eastAsia="宋体" w:cs="宋体"/>
        </w:rPr>
        <w:t>自助营业产品维护项目组：自助营业类、缴费类设备的日常售后服务工作管理。</w:t>
      </w:r>
    </w:p>
    <w:p>
      <w:pPr>
        <w:ind w:firstLine="480"/>
        <w:rPr>
          <w:rFonts w:hint="eastAsia" w:ascii="宋体" w:hAnsi="宋体" w:eastAsia="宋体" w:cs="宋体"/>
        </w:rPr>
      </w:pPr>
      <w:r>
        <w:rPr>
          <w:rFonts w:hint="eastAsia" w:ascii="宋体" w:hAnsi="宋体" w:eastAsia="宋体" w:cs="宋体"/>
        </w:rPr>
        <w:t>（6）区域维护负责人</w:t>
      </w:r>
    </w:p>
    <w:p>
      <w:pPr>
        <w:ind w:firstLine="480"/>
        <w:rPr>
          <w:rFonts w:hint="eastAsia" w:ascii="宋体" w:hAnsi="宋体" w:eastAsia="宋体" w:cs="宋体"/>
        </w:rPr>
      </w:pPr>
      <w:r>
        <w:rPr>
          <w:rFonts w:hint="eastAsia" w:ascii="宋体" w:hAnsi="宋体" w:eastAsia="宋体" w:cs="宋体"/>
        </w:rPr>
        <w:t>受理客户故障申报、故障分析、派工，区域日常维护资料统计汇报。</w:t>
      </w:r>
    </w:p>
    <w:p>
      <w:pPr>
        <w:ind w:firstLine="480"/>
        <w:rPr>
          <w:rFonts w:hint="eastAsia" w:ascii="宋体" w:hAnsi="宋体" w:eastAsia="宋体" w:cs="宋体"/>
        </w:rPr>
      </w:pPr>
      <w:r>
        <w:rPr>
          <w:rFonts w:hint="eastAsia" w:ascii="宋体" w:hAnsi="宋体" w:eastAsia="宋体" w:cs="宋体"/>
        </w:rPr>
        <w:t>（7）售后服务工程师</w:t>
      </w:r>
    </w:p>
    <w:p>
      <w:pPr>
        <w:ind w:firstLine="480"/>
        <w:rPr>
          <w:rFonts w:hint="eastAsia" w:ascii="宋体" w:hAnsi="宋体" w:eastAsia="宋体" w:cs="宋体"/>
        </w:rPr>
      </w:pPr>
      <w:r>
        <w:rPr>
          <w:rFonts w:hint="eastAsia" w:ascii="宋体" w:hAnsi="宋体" w:eastAsia="宋体" w:cs="宋体"/>
        </w:rPr>
        <w:t>接受公司派工，现场运维服务。</w:t>
      </w:r>
    </w:p>
    <w:p>
      <w:pPr>
        <w:pStyle w:val="6"/>
        <w:bidi w:val="0"/>
        <w:rPr>
          <w:rFonts w:hint="eastAsia" w:cs="宋体"/>
          <w:lang w:val="en-US" w:eastAsia="zh-CN"/>
        </w:rPr>
      </w:pPr>
      <w:bookmarkStart w:id="398" w:name="_Toc5451"/>
      <w:r>
        <w:rPr>
          <w:rFonts w:hint="eastAsia" w:cs="宋体"/>
          <w:lang w:val="en-US" w:eastAsia="zh-CN"/>
        </w:rPr>
        <w:t>定期巡检流程</w:t>
      </w:r>
      <w:bookmarkEnd w:id="398"/>
    </w:p>
    <w:p>
      <w:pPr>
        <w:ind w:firstLine="480"/>
        <w:rPr>
          <w:rFonts w:hint="eastAsia" w:ascii="宋体" w:hAnsi="宋体" w:eastAsia="宋体" w:cs="宋体"/>
          <w:b/>
          <w:bCs/>
        </w:rPr>
      </w:pPr>
      <w:r>
        <w:rPr>
          <w:rFonts w:hint="eastAsia" w:ascii="宋体" w:hAnsi="宋体" w:eastAsia="宋体" w:cs="宋体"/>
          <w:b/>
          <w:bCs/>
        </w:rPr>
        <w:t>（1）定期巡检内容</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rPr>
      </w:pPr>
      <w:r>
        <w:rPr>
          <w:rFonts w:hint="eastAsia" w:ascii="宋体" w:hAnsi="宋体" w:eastAsia="宋体" w:cs="宋体"/>
        </w:rPr>
        <w:t>设备外观清洁；</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rPr>
      </w:pPr>
      <w:r>
        <w:rPr>
          <w:rFonts w:hint="eastAsia" w:ascii="宋体" w:hAnsi="宋体" w:eastAsia="宋体" w:cs="宋体"/>
        </w:rPr>
        <w:t>部件外观清洁及内部清洁；</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rPr>
      </w:pPr>
      <w:r>
        <w:rPr>
          <w:rFonts w:hint="eastAsia" w:ascii="宋体" w:hAnsi="宋体" w:eastAsia="宋体" w:cs="宋体"/>
        </w:rPr>
        <w:t>部件运行状态调校；</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rPr>
      </w:pPr>
      <w:r>
        <w:rPr>
          <w:rFonts w:hint="eastAsia" w:ascii="宋体" w:hAnsi="宋体" w:eastAsia="宋体" w:cs="宋体"/>
        </w:rPr>
        <w:t>易损件检测与更换；</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rPr>
      </w:pPr>
      <w:r>
        <w:rPr>
          <w:rFonts w:hint="eastAsia" w:ascii="宋体" w:hAnsi="宋体" w:eastAsia="宋体" w:cs="宋体"/>
        </w:rPr>
        <w:t>使用情况调查；</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rPr>
      </w:pPr>
      <w:r>
        <w:rPr>
          <w:rFonts w:hint="eastAsia" w:ascii="宋体" w:hAnsi="宋体" w:eastAsia="宋体" w:cs="宋体"/>
        </w:rPr>
        <w:t>使用人员培训与交流。</w:t>
      </w:r>
    </w:p>
    <w:p>
      <w:pPr>
        <w:ind w:firstLine="480"/>
        <w:rPr>
          <w:rFonts w:hint="eastAsia" w:ascii="宋体" w:hAnsi="宋体" w:eastAsia="宋体" w:cs="宋体"/>
          <w:b/>
          <w:bCs/>
        </w:rPr>
      </w:pPr>
      <w:r>
        <w:rPr>
          <w:rFonts w:hint="eastAsia" w:ascii="宋体" w:hAnsi="宋体" w:eastAsia="宋体" w:cs="宋体"/>
          <w:b/>
          <w:bCs/>
        </w:rPr>
        <w:t>（2）定期巡检流程</w:t>
      </w:r>
    </w:p>
    <w:p>
      <w:pPr>
        <w:ind w:firstLine="480"/>
        <w:rPr>
          <w:rFonts w:hint="eastAsia" w:ascii="宋体" w:hAnsi="宋体" w:eastAsia="宋体" w:cs="宋体"/>
        </w:rPr>
      </w:pPr>
      <w:r>
        <w:rPr>
          <w:rFonts w:hint="eastAsia" w:ascii="宋体" w:hAnsi="宋体" w:eastAsia="宋体" w:cs="宋体"/>
        </w:rPr>
        <w:t>派经验丰富的工作人员到客户现场进行巡检；</w:t>
      </w:r>
    </w:p>
    <w:p>
      <w:pPr>
        <w:ind w:firstLine="480"/>
        <w:rPr>
          <w:rFonts w:hint="eastAsia" w:ascii="宋体" w:hAnsi="宋体" w:eastAsia="宋体" w:cs="宋体"/>
        </w:rPr>
      </w:pPr>
      <w:r>
        <w:rPr>
          <w:rFonts w:hint="eastAsia" w:ascii="宋体" w:hAnsi="宋体" w:eastAsia="宋体" w:cs="宋体"/>
        </w:rPr>
        <w:t>向用户了解运营情况；</w:t>
      </w:r>
    </w:p>
    <w:p>
      <w:pPr>
        <w:ind w:firstLine="480"/>
        <w:rPr>
          <w:rFonts w:hint="eastAsia" w:ascii="宋体" w:hAnsi="宋体" w:eastAsia="宋体" w:cs="宋体"/>
        </w:rPr>
      </w:pPr>
      <w:r>
        <w:rPr>
          <w:rFonts w:hint="eastAsia" w:ascii="宋体" w:hAnsi="宋体" w:eastAsia="宋体" w:cs="宋体"/>
        </w:rPr>
        <w:t>向用户提交巡检报告签字确认；</w:t>
      </w:r>
    </w:p>
    <w:p>
      <w:pPr>
        <w:ind w:firstLine="480"/>
        <w:rPr>
          <w:rFonts w:hint="eastAsia" w:ascii="宋体" w:hAnsi="宋体" w:eastAsia="宋体" w:cs="宋体"/>
        </w:rPr>
      </w:pPr>
      <w:r>
        <w:rPr>
          <w:rFonts w:hint="eastAsia" w:ascii="宋体" w:hAnsi="宋体" w:eastAsia="宋体" w:cs="宋体"/>
        </w:rPr>
        <w:t>有专业的售后服务设备，每份巡检报告根据每台设备进行单独归档比对；</w:t>
      </w:r>
    </w:p>
    <w:p>
      <w:pPr>
        <w:ind w:firstLine="480"/>
        <w:rPr>
          <w:rFonts w:hint="eastAsia" w:ascii="宋体" w:hAnsi="宋体" w:eastAsia="宋体" w:cs="宋体"/>
        </w:rPr>
      </w:pPr>
      <w:r>
        <w:rPr>
          <w:rFonts w:hint="eastAsia" w:ascii="宋体" w:hAnsi="宋体" w:eastAsia="宋体" w:cs="宋体"/>
        </w:rPr>
        <w:t>客服人员将会定时性主动给使用人员打电话回访，与其进行交流，及时了解客户设备的运行情况。</w:t>
      </w:r>
    </w:p>
    <w:p>
      <w:pPr>
        <w:ind w:firstLine="480"/>
        <w:rPr>
          <w:rFonts w:hint="eastAsia" w:ascii="宋体" w:hAnsi="宋体" w:eastAsia="宋体" w:cs="宋体"/>
          <w:b/>
          <w:bCs/>
        </w:rPr>
      </w:pPr>
      <w:r>
        <w:rPr>
          <w:rFonts w:hint="eastAsia" w:ascii="宋体" w:hAnsi="宋体" w:eastAsia="宋体" w:cs="宋体"/>
          <w:b/>
          <w:bCs/>
        </w:rPr>
        <w:t>（3）巡检记录</w:t>
      </w:r>
    </w:p>
    <w:p>
      <w:pPr>
        <w:ind w:firstLine="480"/>
        <w:rPr>
          <w:rFonts w:hint="eastAsia" w:ascii="宋体" w:hAnsi="宋体" w:eastAsia="宋体" w:cs="宋体"/>
        </w:rPr>
      </w:pPr>
      <w:r>
        <w:rPr>
          <w:rFonts w:hint="eastAsia" w:ascii="宋体" w:hAnsi="宋体" w:eastAsia="宋体" w:cs="宋体"/>
        </w:rPr>
        <w:t>每次例行检查之后，工程师会就客户运行设备情况填写《现场巡检记录表》和《现场情况记录表》。</w:t>
      </w:r>
    </w:p>
    <w:p>
      <w:pPr>
        <w:pStyle w:val="6"/>
        <w:bidi w:val="0"/>
        <w:rPr>
          <w:rFonts w:hint="eastAsia" w:cs="宋体"/>
          <w:lang w:val="en-US" w:eastAsia="zh-CN"/>
        </w:rPr>
      </w:pPr>
      <w:bookmarkStart w:id="399" w:name="_Toc6415"/>
      <w:r>
        <w:rPr>
          <w:rFonts w:hint="eastAsia" w:cs="宋体"/>
          <w:lang w:val="en-US" w:eastAsia="zh-CN"/>
        </w:rPr>
        <w:t>维护服务流程</w:t>
      </w:r>
      <w:bookmarkEnd w:id="399"/>
    </w:p>
    <w:p>
      <w:pPr>
        <w:ind w:firstLine="480"/>
        <w:rPr>
          <w:rFonts w:hint="eastAsia" w:ascii="宋体" w:hAnsi="宋体" w:eastAsia="宋体" w:cs="宋体"/>
        </w:rPr>
      </w:pPr>
      <w:r>
        <w:rPr>
          <w:rFonts w:hint="eastAsia" w:ascii="宋体" w:hAnsi="宋体" w:eastAsia="宋体" w:cs="宋体"/>
        </w:rPr>
        <w:t>根据在设备运行维护中遇到的问题所划分的等级，制定了不同的服务流程，当因紧急问题需要；将根据不同的故障级别启动不同的服务流程。</w:t>
      </w:r>
    </w:p>
    <w:p>
      <w:pPr>
        <w:pStyle w:val="6"/>
        <w:bidi w:val="0"/>
        <w:rPr>
          <w:rFonts w:hint="eastAsia" w:cs="宋体"/>
          <w:lang w:val="en-US" w:eastAsia="zh-CN"/>
        </w:rPr>
      </w:pPr>
      <w:bookmarkStart w:id="400" w:name="_Toc228"/>
      <w:r>
        <w:rPr>
          <w:rFonts w:hint="eastAsia" w:cs="宋体"/>
          <w:lang w:val="en-US" w:eastAsia="zh-CN"/>
        </w:rPr>
        <w:t>咨询服务流程</w:t>
      </w:r>
      <w:bookmarkEnd w:id="400"/>
    </w:p>
    <w:p>
      <w:pPr>
        <w:ind w:firstLine="480"/>
        <w:rPr>
          <w:rFonts w:hint="eastAsia" w:ascii="宋体" w:hAnsi="宋体" w:eastAsia="宋体" w:cs="宋体"/>
        </w:rPr>
      </w:pPr>
      <w:r>
        <w:rPr>
          <w:rFonts w:hint="eastAsia" w:ascii="宋体" w:hAnsi="宋体" w:eastAsia="宋体" w:cs="宋体"/>
        </w:rPr>
        <w:t>针对客户提出的关于设备运行方面的优化、改进要求，提供咨询服务，为客户制定合理的、可实施的优化、改进方案。在其他日常工作中，根据维护人员发现的潜在问题，主动向客户提出有效的建议。</w:t>
      </w:r>
    </w:p>
    <w:p>
      <w:pPr>
        <w:ind w:firstLine="480"/>
        <w:rPr>
          <w:rFonts w:hint="eastAsia" w:ascii="宋体" w:hAnsi="宋体" w:eastAsia="宋体" w:cs="宋体"/>
        </w:rPr>
      </w:pPr>
      <w:r>
        <w:rPr>
          <w:rFonts w:hint="eastAsia" w:ascii="宋体" w:hAnsi="宋体" w:eastAsia="宋体" w:cs="宋体"/>
        </w:rPr>
        <w:t>咨询服务没有特定的针对性，一般是根据客户要求提供。</w:t>
      </w:r>
    </w:p>
    <w:p>
      <w:pPr>
        <w:pStyle w:val="6"/>
        <w:bidi w:val="0"/>
        <w:rPr>
          <w:rFonts w:hint="eastAsia" w:cs="宋体"/>
          <w:lang w:val="en-US" w:eastAsia="zh-CN"/>
        </w:rPr>
      </w:pPr>
      <w:bookmarkStart w:id="401" w:name="_Toc29716"/>
      <w:r>
        <w:rPr>
          <w:rFonts w:hint="eastAsia" w:cs="宋体"/>
          <w:lang w:val="en-US" w:eastAsia="zh-CN"/>
        </w:rPr>
        <w:t>服务质量监控</w:t>
      </w:r>
      <w:bookmarkEnd w:id="401"/>
    </w:p>
    <w:p>
      <w:pPr>
        <w:ind w:firstLine="480"/>
        <w:rPr>
          <w:rFonts w:hint="eastAsia" w:ascii="宋体" w:hAnsi="宋体" w:eastAsia="宋体" w:cs="宋体"/>
        </w:rPr>
      </w:pPr>
      <w:r>
        <w:rPr>
          <w:rFonts w:hint="eastAsia" w:ascii="宋体" w:hAnsi="宋体" w:eastAsia="宋体" w:cs="宋体"/>
        </w:rPr>
        <w:t>（1）在所有服务实施过程中，相关人员均需如实填写详细服务记录，并由</w:t>
      </w:r>
      <w:r>
        <w:rPr>
          <w:rFonts w:hint="eastAsia" w:cs="宋体"/>
          <w:lang w:val="en-US" w:eastAsia="zh-CN"/>
        </w:rPr>
        <w:t>建设方</w:t>
      </w:r>
      <w:r>
        <w:rPr>
          <w:rFonts w:hint="eastAsia" w:ascii="宋体" w:hAnsi="宋体" w:eastAsia="宋体" w:cs="宋体"/>
        </w:rPr>
        <w:t>签署意见后，提交备案。</w:t>
      </w:r>
    </w:p>
    <w:p>
      <w:pPr>
        <w:ind w:firstLine="480"/>
        <w:rPr>
          <w:rFonts w:hint="eastAsia" w:ascii="宋体" w:hAnsi="宋体" w:eastAsia="宋体" w:cs="宋体"/>
        </w:rPr>
      </w:pPr>
      <w:r>
        <w:rPr>
          <w:rFonts w:hint="eastAsia" w:ascii="宋体" w:hAnsi="宋体" w:eastAsia="宋体" w:cs="宋体"/>
        </w:rPr>
        <w:t>（2）客户服务部会定期回访，调查客户对服务工程师的满意度，对各类服务的实施情况进行确认，了解设备运行维护情况。</w:t>
      </w:r>
    </w:p>
    <w:p>
      <w:pPr>
        <w:ind w:firstLine="480"/>
        <w:rPr>
          <w:rFonts w:hint="eastAsia" w:ascii="宋体" w:hAnsi="宋体" w:eastAsia="宋体" w:cs="宋体"/>
        </w:rPr>
        <w:sectPr>
          <w:headerReference r:id="rId12" w:type="default"/>
          <w:footerReference r:id="rId13" w:type="default"/>
          <w:pgSz w:w="11906" w:h="16838"/>
          <w:pgMar w:top="1440" w:right="1797" w:bottom="1440" w:left="1797" w:header="964" w:footer="992" w:gutter="0"/>
          <w:pgBorders>
            <w:top w:val="none" w:sz="0" w:space="0"/>
            <w:left w:val="none" w:sz="0" w:space="0"/>
            <w:bottom w:val="none" w:sz="0" w:space="0"/>
            <w:right w:val="none" w:sz="0" w:space="0"/>
          </w:pgBorders>
          <w:pgNumType w:fmt="decimal" w:start="1"/>
          <w:cols w:space="425" w:num="1"/>
          <w:docGrid w:type="lines" w:linePitch="326" w:charSpace="0"/>
        </w:sectPr>
      </w:pPr>
      <w:r>
        <w:rPr>
          <w:rFonts w:hint="eastAsia" w:ascii="宋体" w:hAnsi="宋体" w:eastAsia="宋体" w:cs="宋体"/>
        </w:rPr>
        <w:t>（3）收到</w:t>
      </w:r>
      <w:r>
        <w:rPr>
          <w:rFonts w:hint="eastAsia" w:cs="宋体"/>
          <w:lang w:val="en-US" w:eastAsia="zh-CN"/>
        </w:rPr>
        <w:t>建设方</w:t>
      </w:r>
      <w:r>
        <w:rPr>
          <w:rFonts w:hint="eastAsia" w:ascii="宋体" w:hAnsi="宋体" w:eastAsia="宋体" w:cs="宋体"/>
        </w:rPr>
        <w:t>关于服务质量的投诉，在2日内向被投诉人员核实投诉情况。所有投诉，均在5日内，做出正式答复。向</w:t>
      </w:r>
      <w:r>
        <w:rPr>
          <w:rFonts w:hint="eastAsia" w:cs="宋体"/>
          <w:lang w:val="en-US" w:eastAsia="zh-CN"/>
        </w:rPr>
        <w:t>建设方</w:t>
      </w:r>
      <w:r>
        <w:rPr>
          <w:rFonts w:hint="eastAsia" w:ascii="宋体" w:hAnsi="宋体" w:eastAsia="宋体" w:cs="宋体"/>
        </w:rPr>
        <w:t>发出书面答复与致歉函。受到</w:t>
      </w:r>
      <w:r>
        <w:rPr>
          <w:rFonts w:hint="eastAsia" w:cs="宋体"/>
          <w:lang w:val="en-US" w:eastAsia="zh-CN"/>
        </w:rPr>
        <w:t>建设方</w:t>
      </w:r>
      <w:r>
        <w:rPr>
          <w:rFonts w:hint="eastAsia" w:ascii="宋体" w:hAnsi="宋体" w:eastAsia="宋体" w:cs="宋体"/>
        </w:rPr>
        <w:t>投诉的服务工程师，经核实确有责任，每次投诉罚款500元。被投诉达到三次，做解聘处理。</w:t>
      </w:r>
    </w:p>
    <w:p>
      <w:pPr>
        <w:pStyle w:val="3"/>
        <w:tabs>
          <w:tab w:val="clear" w:pos="3402"/>
          <w:tab w:val="clear" w:pos="3828"/>
        </w:tabs>
        <w:rPr>
          <w:rFonts w:hint="default"/>
          <w:lang w:val="en-US" w:eastAsia="zh-CN"/>
        </w:rPr>
      </w:pPr>
      <w:bookmarkStart w:id="402" w:name="_Toc11885"/>
      <w:bookmarkStart w:id="403" w:name="_Toc27936064"/>
      <w:bookmarkStart w:id="404" w:name="_Toc27680587"/>
      <w:r>
        <w:rPr>
          <w:rFonts w:hint="eastAsia" w:ascii="Times New Roman" w:hAnsi="Times New Roman" w:cs="宋体"/>
          <w:color w:val="000000" w:themeColor="text1"/>
          <w:szCs w:val="32"/>
          <w14:textFill>
            <w14:solidFill>
              <w14:schemeClr w14:val="tx1"/>
            </w14:solidFill>
          </w14:textFill>
        </w:rPr>
        <w:t>项目总投资概算</w:t>
      </w:r>
      <w:bookmarkEnd w:id="402"/>
      <w:bookmarkEnd w:id="403"/>
      <w:bookmarkEnd w:id="404"/>
      <w:bookmarkStart w:id="405" w:name="_Toc479232690"/>
      <w:bookmarkStart w:id="406" w:name="_Toc27680588"/>
      <w:bookmarkStart w:id="407" w:name="_Toc27936065"/>
    </w:p>
    <w:p>
      <w:pPr>
        <w:pStyle w:val="4"/>
        <w:rPr>
          <w:color w:val="000000" w:themeColor="text1"/>
          <w14:textFill>
            <w14:solidFill>
              <w14:schemeClr w14:val="tx1"/>
            </w14:solidFill>
          </w14:textFill>
        </w:rPr>
      </w:pPr>
      <w:bookmarkStart w:id="408" w:name="_Toc2791"/>
      <w:r>
        <w:rPr>
          <w:rFonts w:hint="eastAsia"/>
          <w:color w:val="000000" w:themeColor="text1"/>
          <w14:textFill>
            <w14:solidFill>
              <w14:schemeClr w14:val="tx1"/>
            </w14:solidFill>
          </w14:textFill>
        </w:rPr>
        <w:t>项目投资</w:t>
      </w:r>
      <w:bookmarkEnd w:id="405"/>
      <w:r>
        <w:rPr>
          <w:rFonts w:hint="eastAsia"/>
          <w:color w:val="000000" w:themeColor="text1"/>
          <w14:textFill>
            <w14:solidFill>
              <w14:schemeClr w14:val="tx1"/>
            </w14:solidFill>
          </w14:textFill>
        </w:rPr>
        <w:t>概算</w:t>
      </w:r>
      <w:r>
        <w:rPr>
          <w:rFonts w:hint="eastAsia"/>
          <w:color w:val="000000" w:themeColor="text1"/>
          <w:lang w:val="en-US" w:eastAsia="zh-CN"/>
          <w14:textFill>
            <w14:solidFill>
              <w14:schemeClr w14:val="tx1"/>
            </w14:solidFill>
          </w14:textFill>
        </w:rPr>
        <w:t>总</w:t>
      </w:r>
      <w:r>
        <w:rPr>
          <w:rFonts w:hint="eastAsia"/>
          <w:color w:val="000000" w:themeColor="text1"/>
          <w14:textFill>
            <w14:solidFill>
              <w14:schemeClr w14:val="tx1"/>
            </w14:solidFill>
          </w14:textFill>
        </w:rPr>
        <w:t>表</w:t>
      </w:r>
      <w:bookmarkEnd w:id="406"/>
      <w:bookmarkEnd w:id="407"/>
      <w:bookmarkEnd w:id="408"/>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2"/>
        <w:gridCol w:w="5139"/>
        <w:gridCol w:w="1668"/>
        <w:gridCol w:w="1434"/>
        <w:gridCol w:w="51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序号</w:t>
            </w:r>
          </w:p>
        </w:tc>
        <w:tc>
          <w:tcPr>
            <w:tcW w:w="1814"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费用类别名称</w:t>
            </w:r>
          </w:p>
        </w:tc>
        <w:tc>
          <w:tcPr>
            <w:tcW w:w="580"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预算金额（元）</w:t>
            </w:r>
          </w:p>
        </w:tc>
        <w:tc>
          <w:tcPr>
            <w:tcW w:w="508"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比例</w:t>
            </w:r>
          </w:p>
        </w:tc>
        <w:tc>
          <w:tcPr>
            <w:tcW w:w="1831"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w:t>
            </w:r>
          </w:p>
        </w:tc>
        <w:tc>
          <w:tcPr>
            <w:tcW w:w="1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软件开发费（A）</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2,267,900.00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51.4%</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1.1~1.3合计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1.1 </w:t>
            </w:r>
          </w:p>
        </w:tc>
        <w:tc>
          <w:tcPr>
            <w:tcW w:w="1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农产品展销管理平台系统软件开发费用（电商系统）</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1,658,100.00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37.5%</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1.2 </w:t>
            </w:r>
          </w:p>
        </w:tc>
        <w:tc>
          <w:tcPr>
            <w:tcW w:w="1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农产品展销管理平台系统软件开发费用（平台对接服务）</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300,000.00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1.3 </w:t>
            </w:r>
          </w:p>
        </w:tc>
        <w:tc>
          <w:tcPr>
            <w:tcW w:w="1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农产品展销管理平台系统软件开发费用（大屏数据中心）</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309,800.00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w:t>
            </w:r>
          </w:p>
        </w:tc>
        <w:tc>
          <w:tcPr>
            <w:tcW w:w="1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服务费（B）</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1,650,576.48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37.4%</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2.1~2.2合计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2.1 </w:t>
            </w:r>
          </w:p>
        </w:tc>
        <w:tc>
          <w:tcPr>
            <w:tcW w:w="1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农产品展销管理平台人员服务费用</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1,566,000.00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35.5%</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2.2 </w:t>
            </w:r>
          </w:p>
        </w:tc>
        <w:tc>
          <w:tcPr>
            <w:tcW w:w="1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农产品展销管理平台基础设施租用费用</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84,576.48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w:t>
            </w:r>
          </w:p>
        </w:tc>
        <w:tc>
          <w:tcPr>
            <w:tcW w:w="1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系统集成费（C）</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本期项目无系统集成需求。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w:t>
            </w:r>
          </w:p>
        </w:tc>
        <w:tc>
          <w:tcPr>
            <w:tcW w:w="1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设计咨询费（D）</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119,087.60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设计咨询费参考(河政数〔2019〕47号)《河源市政务服务数据管理局关于印发河源市市级政务信息化服务项目（建设类）方案编制指南（试行）的通知》计算。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w:t>
            </w:r>
          </w:p>
        </w:tc>
        <w:tc>
          <w:tcPr>
            <w:tcW w:w="1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等保测评费（E）</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由市政数局出资解决。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w:t>
            </w:r>
          </w:p>
        </w:tc>
        <w:tc>
          <w:tcPr>
            <w:tcW w:w="1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工程监理费（F）</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143,533.73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工程监理费参考(河政数〔2019〕47号)《河源市政务服务数据管理局关于印发河源市市级政务信息化服务项目（建设类）方案编制指南（试行）的通知》计算。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七</w:t>
            </w:r>
          </w:p>
        </w:tc>
        <w:tc>
          <w:tcPr>
            <w:tcW w:w="18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税费（G）</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235,108.59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G=（A+B+C+E）*6%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0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4,416,206.40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100%</w:t>
            </w:r>
          </w:p>
        </w:tc>
        <w:tc>
          <w:tcPr>
            <w:tcW w:w="183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宋体" w:hAnsi="宋体" w:eastAsia="宋体" w:cs="宋体"/>
                <w:i w:val="0"/>
                <w:iCs w:val="0"/>
                <w:color w:val="000000"/>
                <w:sz w:val="24"/>
                <w:szCs w:val="24"/>
                <w:u w:val="none"/>
              </w:rPr>
            </w:pPr>
          </w:p>
        </w:tc>
      </w:tr>
    </w:tbl>
    <w:p>
      <w:pPr>
        <w:pStyle w:val="16"/>
      </w:pPr>
    </w:p>
    <w:p>
      <w:pPr>
        <w:pStyle w:val="4"/>
        <w:rPr>
          <w:rFonts w:hint="default" w:cs="宋体"/>
          <w:lang w:val="en-US" w:eastAsia="zh-CN"/>
        </w:rPr>
      </w:pPr>
      <w:bookmarkStart w:id="409" w:name="_Toc27936066"/>
      <w:bookmarkStart w:id="410" w:name="_Toc22883"/>
      <w:bookmarkStart w:id="411" w:name="_Toc27680589"/>
      <w:r>
        <w:rPr>
          <w:rFonts w:hint="eastAsia"/>
          <w:color w:val="000000" w:themeColor="text1"/>
          <w14:textFill>
            <w14:solidFill>
              <w14:schemeClr w14:val="tx1"/>
            </w14:solidFill>
          </w14:textFill>
        </w:rPr>
        <w:t>预算明细表</w:t>
      </w:r>
      <w:bookmarkEnd w:id="409"/>
      <w:bookmarkEnd w:id="410"/>
      <w:bookmarkEnd w:id="411"/>
      <w:bookmarkStart w:id="412" w:name="_Toc479232691"/>
    </w:p>
    <w:p>
      <w:pPr>
        <w:pStyle w:val="5"/>
        <w:bidi w:val="0"/>
        <w:rPr>
          <w:rFonts w:hint="default"/>
          <w:lang w:val="en-US" w:eastAsia="zh-CN"/>
        </w:rPr>
      </w:pPr>
      <w:bookmarkStart w:id="413" w:name="_Toc13795"/>
      <w:r>
        <w:rPr>
          <w:rFonts w:hint="default"/>
          <w:lang w:val="en-US" w:eastAsia="zh-CN"/>
        </w:rPr>
        <w:t>农产品展销管理平台运营服务费用明细表</w:t>
      </w:r>
      <w:bookmarkEnd w:id="413"/>
    </w:p>
    <w:bookmarkEnd w:id="412"/>
    <w:p>
      <w:pPr>
        <w:pStyle w:val="6"/>
        <w:bidi w:val="0"/>
        <w:rPr>
          <w:rFonts w:hint="eastAsia"/>
          <w:lang w:val="en-US" w:eastAsia="zh-CN"/>
        </w:rPr>
      </w:pPr>
      <w:r>
        <w:rPr>
          <w:rFonts w:hint="eastAsia"/>
          <w:lang w:val="en-US" w:eastAsia="zh-CN"/>
        </w:rPr>
        <w:t>农产品展销管理平台系统软件开发费用明细（电商系统）</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0"/>
        <w:gridCol w:w="1585"/>
        <w:gridCol w:w="2174"/>
        <w:gridCol w:w="3578"/>
        <w:gridCol w:w="1219"/>
        <w:gridCol w:w="1134"/>
        <w:gridCol w:w="1142"/>
        <w:gridCol w:w="1457"/>
        <w:gridCol w:w="1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子系统</w:t>
            </w:r>
          </w:p>
        </w:tc>
        <w:tc>
          <w:tcPr>
            <w:tcW w:w="767"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系统分项</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系统分项功能</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人员需求</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工作量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（人/日）</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单价（元）</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合计（元）</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2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电商系统基础平台</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含基础管理、CMS管理、交易管理和平台管理；基础平台能力部署和授权，构建线上PC门户，作为供应商和采购商的入口，包含热门商品，供应商展示，以及搜索功能，卖家买家入驻，电商交易等。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系统设置模块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商店设置</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管理员在此可以完成商店的几乎所有的设置，包括的设置有网店信息基本设置、显示设置、购物流程、商品显示设置、短信设置、WAP 设置等。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会员注册项设置</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管理员可以在后台设置会员注册项的显示隐藏，也可以增加会员注册项。</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支付方式</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用户在前台购物过程中点击结算中心后，会进入购物流程中，购物流程中会有支付方式，比如支付宝、微信、银联支付等。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配送方式</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管理员可以设置配送方式，后台内置多种物流（快递）配送方式。</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计划任务</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计划任务，就是在适当的时候，让计算机执行适当的程序，以满足用户的需求。计划任务分系统计划任务和网站计划任务。</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验证码管理</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管理员可以设置在某个模块对用户行为进行需要输入验证码，验证码可以有效防止批量注册、灌水等恶意行为。</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首页主广告管理</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管理员可以采用后台系统默认设置，也可使用自定义，可以设置图片、flash、代码、文字类型的广告。</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自定义导航栏</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管理员可以自定义导航栏并可以对其设置显示、隐藏、是否新窗口打开、显示位置等，维护方便，操作简单。</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站点地图</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网站地图可以帮助搜索引擎建立索引范围和索引的行为习惯，有利于网店优化。</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物流信息模块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物流配置</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配置物流收费情况，根据需要可按照地区、件数设置包邮</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订单物流信息展示</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对单一订单的物流信息整体展示</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9600.00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订单物流信息查询</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依据订单情况进行物流信息针对性查询，并在地图上展示物流路径及实时位置。</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15</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商品管理模块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商品列表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管理员不仅可对商品列表中的商品进行上架、精品、新品、热销等设置，也可设置商品的排列顺序。</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添加新商品</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管理员在此添加商品详细描述、商品属性、商品相册等内容，也可以设置关联商品、配件。</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商品分类</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管理员可以设置多级商品分类，并可对分类进行排序、设置显示及隐藏等。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用户评论</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查看用户某个时间对商品的评论，并可手动设置该评论是否显示或隐藏，管理员也可以对该用户的评论进行删除。</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商品品牌</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可以添加商品品牌名称、logo、网址、品牌描述等信息，并可进行排序，也可对该品牌设置显示或隐藏。品牌商品不受分类限制，各个品牌是独并列存在的。</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商品类型</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商品类型是一个复杂的功能，用户经常会和商品分类混淆，但商品类型和商品分类是不同的，因为他有属性的概念。</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商品回收站</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可以对商品进行检索，也可对商品进行删除或者还原操作，如果还原将会还原到删除之前的状态，如果删除的话，将会彻底删除，并且商品之前包含的商品图片也会全部消失，务必谨慎操作。</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图片批量处理</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可以批量处理商品图片、处理商品相册、重新生成缩略图、重新生成商品详情图等。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商品批量上传</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在批量上传以前，需将商品的图片（包括原始图片、商品图片、缩略图）命名好，并上传到空间相应目录。</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商品批量导出</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可根据筛选条件将商品批量导出。</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商品批量修改</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可对筛选之后的商品进行批量修改，如更改商品价格、库存、商品品牌等信息。</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生成商品代码</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将你的商品生成一段简述放到其他网站上面，这样就可以在其他网站显示你的商品信息了，从而达到推广的作用。</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标签管理</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让客户可以对商品进行归类，方便其他用户通过标签来找到其他相关商品；管理员可以从后台对标签进行管理。</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商品自动上下架</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商品自动上下架的主要功能是当在节假日没有工作人员操作的情况下，也可以对商品进行上架。</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营销推广模块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红包类型</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发红包为众多促销功能中的一个，可自定义红包类型，也可设置红包的发放方式、发放数量、红包金额等。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21600.00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祝福贺卡</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在实际的采购过程中，若购买的商品为员工家属的收取，可添加祝福贺卡。</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团购活动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引流方式，吸引多个采购方参与其中，从而以相对优惠的价格完成采购行为。</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21600.00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专题管理</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管理员可设置节日专题，将各种节日商品进行分类。</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拍卖活动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允许管理员设定拍卖活动的起始和结束时间。仅在起始时间之后才可参与拍卖活动，直至拍卖活动结束，出价高者赢得拍品。</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21600.00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优惠活动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管理员可添加优惠活动，设置优惠活动的开始、结束时间以及不同等级会员享受的不同优惠。</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21600.00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批发管理</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管理员可以创建或者批量创建批发方案，并可按条件筛选要批发的商品。</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21600.00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超值礼包</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管理员可以添加超值礼包名称设置关联商品、活动开始、结束时间、礼包价格等。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21600.00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积分商城商品</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积分商城中，多次复购用户可通过积分进行商品兑换。</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21600.00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59"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会员体系模块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会员列表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1、显示网店的所有会员信息，并可根据会员等级进行筛选，也可根据会员积分、会员名称等进行查询。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2、管理员可以自定义会员等级，设置积分的上限、下限和该会员等级所享受的折扣率。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3、管理员可以看到用户在前台的留言，可以对留言进行恢复，查看，删除等操作。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4、管理员可以查看会员的信息，可根据日期查看所有用户的总的资金体现。</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45000.00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添加会员</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除了用户可以在前台注册外，管理员在后台也可以直接添加会员。</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59"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订单管理模块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订单列表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管理员可把订单里的信息进行表格化的罗列，主要包括订单号、下单时间、收货人、总金额、应付金额、订单状态和操作。</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订单查询</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管理员可根据订单号、购货人、电话、地址、订单状态、支付方式等进行查询，准确定很高。</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合并订单</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采购用户在某时间段内提交多个订单，尚未发货，且收货联系人和地址均一致，即可将这多个订单进行合并。</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订单打印</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内置订单打印模板，根据需要自己设定要打印的内容。</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缺货登记</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用户在前台购买商品的时候，如果购买的数量超过了库存，此时用户可以在前台给店主进行缺货登记，这样在后台缺货登记的地方就有记录了。</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28800.00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发货单列表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显示发货单号、下单时间、收货人、发货状态等信息，并可根据发货单状态进行筛选，如：已发货、退货、正常。</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10400.00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退货单列表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显示退货单信息，并可根据发货单流水号、订单号、收货人等进行搜索。</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换货单列表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显示换货单信息，并可根据发货单流水号、订单号、收货人等进行搜索。</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10800.00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广告模块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广告列表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广告列表页面列出管理员所有的广告信息，包括站内广告以及管理员在其他网站投放的站外广告信息。</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广告位置</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添加广告，首先要给广告一个显示位置，所以需要先添加广告位置，管理员可以设置广告位的尺寸、描述等。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楷体" w:hAnsi="楷体" w:eastAsia="楷体" w:cs="楷体"/>
                <w:i w:val="0"/>
                <w:iCs w:val="0"/>
                <w:color w:val="000000"/>
                <w:sz w:val="20"/>
                <w:szCs w:val="20"/>
                <w:u w:val="none"/>
              </w:rPr>
            </w:pPr>
            <w:r>
              <w:rPr>
                <w:rFonts w:hint="eastAsia" w:ascii="楷体" w:hAnsi="楷体" w:eastAsia="楷体" w:cs="楷体"/>
                <w:i w:val="0"/>
                <w:iCs w:val="0"/>
                <w:color w:val="000000"/>
                <w:kern w:val="0"/>
                <w:sz w:val="20"/>
                <w:szCs w:val="20"/>
                <w:u w:val="none"/>
                <w:lang w:val="en-US" w:eastAsia="zh-CN" w:bidi="ar"/>
              </w:rPr>
              <w:t>9</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管理中心模块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管理员列表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管理员可以设置网店的管理员，并可对这些管理员的管理权限进行设置。</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10800.00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楷体" w:hAnsi="楷体" w:eastAsia="楷体" w:cs="楷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管理员日志</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记录管理员后台操作记录。可在这里查看管理员操作日志，也可以勾选需要清除的管理员日志。</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10800.00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楷体" w:hAnsi="楷体" w:eastAsia="楷体" w:cs="楷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角色管理</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方便了后台管理员权限的设置，如设置一个角色为供货商，分配权限给查看发货单和查看退货单。</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10800.00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楷体" w:hAnsi="楷体" w:eastAsia="楷体" w:cs="楷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供货商列表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管理员可以添加供货商，供货商的具体体现在添加新商品的时候会有选择供货商。</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10800.00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楷体" w:hAnsi="楷体" w:eastAsia="楷体" w:cs="楷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运维管理</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异常日志管理，接口和操作的日志管理、异常日志管理</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59"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消息中心模块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短信验证</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先注册短信服务并正确配置短信服务方可使用。</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关注管理</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用户对商品进行关注后，在此模块管理员可以看到哪些商品受到用户的关注，可以清楚的了解到那款商品信息的更新日期。</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杂志管理</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管理员可以添加新杂志，自定义杂志标题和内容。</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数据库管理模块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数据备份</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管理员可以自定义备份类型，有选择性的进行备份，也可以恢复备份数据。</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数据表优化</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管理员可以进行数据表优化。系统运行一段时间之后，数据库会产生一些碎片，经常优化数据库，可以提高mysql的效率。</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38.00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38000.00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SQL查询</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Sql查询的功能，可以方便用sql语句直接操作数据库。直接把要运行的语句贴进文本框，执行提交即可。</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28800.00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购物车管理模块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购物车列表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用户在商城将商品加入购物车</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购物车下单</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购物车进行批量下单购买</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59"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模板管理模块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模板选择</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后台支持多套模板存放，管理员可任意切换商城模板，一键轻松改变商城风格。</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设置模板</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管理员可以设置页面各个模块的显示位置，可以在后台根据自己的要求调整模板模块的显示位置。</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库项目管理</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管理员可以编辑每一个模块的样式，通过下拉菜单轻松的选择您需要修改的模块，修改完后确定提交即可生效。</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语言项编辑</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修改商城中的某些碎片文件，如欢迎语、提示信息等。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模板设置备份</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里管理员可看到备份模版设置的选项，此功能主要用来备份和还原自定义模板</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发票模块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发票申请</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管理员及下单用户可通过订单详情进行发票申请</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发票形式</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开具发票形式可选：电子发票、纸质发票</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10800.00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客服模块</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在线模式</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可通过IM客服模块，完成即时文字和语音交互</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机器人模式</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可通过预设话术和智能语音识别功能，自动回复客户信息</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32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移动端支持</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微信小程序端UI设计</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124.00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124000.00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128"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1658100.00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bl>
    <w:p>
      <w:pPr>
        <w:ind w:left="0" w:leftChars="0" w:firstLine="0" w:firstLineChars="0"/>
        <w:rPr>
          <w:rFonts w:hint="eastAsia"/>
          <w:lang w:val="en-US" w:eastAsia="zh-CN"/>
        </w:rPr>
      </w:pPr>
    </w:p>
    <w:p>
      <w:pPr>
        <w:pStyle w:val="6"/>
        <w:bidi w:val="0"/>
        <w:rPr>
          <w:rFonts w:hint="eastAsia"/>
          <w:lang w:val="en-US" w:eastAsia="zh-CN"/>
        </w:rPr>
      </w:pPr>
      <w:r>
        <w:rPr>
          <w:rFonts w:hint="eastAsia"/>
          <w:lang w:val="en-US" w:eastAsia="zh-CN"/>
        </w:rPr>
        <w:t>农产品展销管理平台系统软件开发费用明细（平台对接服务）</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0"/>
        <w:gridCol w:w="1585"/>
        <w:gridCol w:w="2174"/>
        <w:gridCol w:w="3578"/>
        <w:gridCol w:w="1219"/>
        <w:gridCol w:w="1134"/>
        <w:gridCol w:w="1142"/>
        <w:gridCol w:w="1457"/>
        <w:gridCol w:w="1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子系统</w:t>
            </w:r>
          </w:p>
        </w:tc>
        <w:tc>
          <w:tcPr>
            <w:tcW w:w="767"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系统分项</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系统分项功能</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人员需求</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工作量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（人/月）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单价（元）</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合计（元）</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支付平台对接</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微信支付</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对接微信支付平台</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支付宝支付</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对接支付宝支付平台</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云闪付支付</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对接银联支付平台</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物流平台对接</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快递100</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对接快递100平台的物流信息</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京东同城配送</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对接京东同城配送平台的物流信息</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顺丰同城配送</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对接顺丰同城配送的物流信息</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其他物流平台</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对接其他物流平台的物流信息（例如：苏宁物流、安得物流、货拉拉等）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发票平台对接</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百望电子发票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对接百望云电子发票平台</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云票儿电子发票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对接云票儿电子发票平台</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其他电子发票</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对接当前系统所需的其他电子发票平台（例如：51、诺诺、用友等）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溯源系统对接</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对接二维码溯源平台</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28"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300000.00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bl>
    <w:p>
      <w:pPr>
        <w:rPr>
          <w:rFonts w:hint="eastAsia"/>
          <w:lang w:val="en-US" w:eastAsia="zh-CN"/>
        </w:rPr>
      </w:pPr>
    </w:p>
    <w:p>
      <w:pPr>
        <w:pStyle w:val="6"/>
        <w:bidi w:val="0"/>
        <w:rPr>
          <w:rFonts w:hint="eastAsia"/>
          <w:lang w:val="en-US" w:eastAsia="zh-CN"/>
        </w:rPr>
      </w:pPr>
      <w:r>
        <w:rPr>
          <w:rFonts w:hint="eastAsia"/>
          <w:lang w:val="en-US" w:eastAsia="zh-CN"/>
        </w:rPr>
        <w:t>农产品展销管理平台系统软件开发费用明细（大屏数据中心）</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7"/>
        <w:gridCol w:w="3762"/>
        <w:gridCol w:w="3578"/>
        <w:gridCol w:w="1219"/>
        <w:gridCol w:w="1134"/>
        <w:gridCol w:w="1142"/>
        <w:gridCol w:w="1457"/>
        <w:gridCol w:w="1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系统分项</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系统分项功能</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人员需求</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工作量</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（人/月）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单价（元）</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合计（元）</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客户概况及趋势</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分析平台注册会用户数据及趋势</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流量概况分析</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分析平PV、UV数据及其趋势</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顾客浏览路径图</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分析客户对商品的浏览记录，拟得出其感兴趣的商品</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热力图分析</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以高亮的形式显示访客所在的地理区域的图示</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访客来访分析</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分析访客的来访时间时间段分布数据，拟得出访客活跃时间段</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访客地域分布分析</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分析访客的来源地区分布数据，拟得出访客活跃地区</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来源监控</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分析用户的来源途径数据，拟得出流量主要来源途径</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商品整体概况</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分析单个商品访问、成交、转化数据</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交易概况</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分析交易订单量、订单时间段、来源地区等数据</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营销概况</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分析各营销活动所带来的销量以评估营销活动时否有效</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会员排行</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展示会员的订单数和购物金额，并可根据开始、结束时间进行查询。</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销售排行</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销售排行展示一段时间内商品的出售排行，以"销售量"递减排序。在此可以查看商品的销售量，总的销售额以及商品均价。</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经营日、周、月报</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分析用户注册数、访客数、商品上下架数、交易数据日、周、月数据</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28.00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22400.00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327"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SPU销售日、周、月报</w:t>
            </w:r>
          </w:p>
        </w:tc>
        <w:tc>
          <w:tcPr>
            <w:tcW w:w="126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分析商品销售的日、周、月数据</w:t>
            </w:r>
          </w:p>
        </w:tc>
        <w:tc>
          <w:tcPr>
            <w:tcW w:w="43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中级工程师</w:t>
            </w:r>
          </w:p>
        </w:tc>
        <w:tc>
          <w:tcPr>
            <w:tcW w:w="40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28.00 </w:t>
            </w:r>
          </w:p>
        </w:tc>
        <w:tc>
          <w:tcPr>
            <w:tcW w:w="40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800.00 </w:t>
            </w:r>
          </w:p>
        </w:tc>
        <w:tc>
          <w:tcPr>
            <w:tcW w:w="514"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22400.00 </w:t>
            </w:r>
          </w:p>
        </w:tc>
        <w:tc>
          <w:tcPr>
            <w:tcW w:w="35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128" w:type="pct"/>
            <w:gridSpan w:val="6"/>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小计3</w:t>
            </w:r>
          </w:p>
        </w:tc>
        <w:tc>
          <w:tcPr>
            <w:tcW w:w="514"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309800.00 </w:t>
            </w:r>
          </w:p>
        </w:tc>
        <w:tc>
          <w:tcPr>
            <w:tcW w:w="356" w:type="pct"/>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bl>
    <w:p>
      <w:pPr>
        <w:rPr>
          <w:rFonts w:hint="eastAsia"/>
          <w:lang w:val="en-US" w:eastAsia="zh-CN"/>
        </w:rPr>
      </w:pPr>
    </w:p>
    <w:p>
      <w:pPr>
        <w:pStyle w:val="6"/>
        <w:bidi w:val="0"/>
        <w:rPr>
          <w:rFonts w:hint="eastAsia"/>
          <w:lang w:val="en-US" w:eastAsia="zh-CN"/>
        </w:rPr>
      </w:pPr>
      <w:r>
        <w:rPr>
          <w:rFonts w:hint="eastAsia"/>
          <w:lang w:val="en-US" w:eastAsia="zh-CN"/>
        </w:rPr>
        <w:t>农产品展销管理平台基础设施租用费用明细</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5"/>
        <w:gridCol w:w="3578"/>
        <w:gridCol w:w="3407"/>
        <w:gridCol w:w="1193"/>
        <w:gridCol w:w="1128"/>
        <w:gridCol w:w="1406"/>
        <w:gridCol w:w="1593"/>
        <w:gridCol w:w="9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设备名称</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技术参数</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单价（元）</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合计（元）</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服务器部署</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服务器IP规划、系统及应用软件部署</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数据库安装</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系统数据库安装调试</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10000.00 </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10000.00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系统联调</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电商平台整体部署及对接接口等系统联调工作</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20000.00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管理员操作培训</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系统整体架构、功能部署、运营操作等原厂培训，每次不低于8人</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 </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11000.00 </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22000.00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62" w:type="pct"/>
            <w:tcBorders>
              <w:top w:val="single" w:color="000000" w:sz="4" w:space="0"/>
              <w:left w:val="single" w:color="000000" w:sz="4" w:space="0"/>
              <w:bottom w:val="single" w:color="000000" w:sz="4" w:space="0"/>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安全管理培训</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网络安全、支付安全、信息安全等安全管理相关内容现场培训，每次不低于10人</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 </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6288.24 </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12576.48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08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84576.48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08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合计（小计1~4）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2352476.48 </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宋体" w:hAnsi="宋体" w:eastAsia="宋体" w:cs="宋体"/>
                <w:i w:val="0"/>
                <w:iCs w:val="0"/>
                <w:color w:val="000000"/>
                <w:sz w:val="22"/>
                <w:szCs w:val="22"/>
                <w:u w:val="none"/>
              </w:rPr>
            </w:pPr>
          </w:p>
        </w:tc>
      </w:tr>
    </w:tbl>
    <w:p>
      <w:pPr>
        <w:rPr>
          <w:rFonts w:hint="eastAsia"/>
          <w:lang w:val="en-US" w:eastAsia="zh-CN"/>
        </w:rPr>
      </w:pPr>
    </w:p>
    <w:p>
      <w:pPr>
        <w:pStyle w:val="5"/>
        <w:bidi w:val="0"/>
        <w:rPr>
          <w:rFonts w:hint="default"/>
          <w:lang w:val="en-US" w:eastAsia="zh-CN"/>
        </w:rPr>
      </w:pPr>
      <w:bookmarkStart w:id="414" w:name="_Toc11637"/>
      <w:r>
        <w:rPr>
          <w:rFonts w:hint="default"/>
          <w:lang w:val="en-US" w:eastAsia="zh-CN"/>
        </w:rPr>
        <w:t>农产品展销管理平台人员服务费用明细</w:t>
      </w:r>
      <w:bookmarkEnd w:id="414"/>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8"/>
        <w:gridCol w:w="938"/>
        <w:gridCol w:w="6402"/>
        <w:gridCol w:w="703"/>
        <w:gridCol w:w="964"/>
        <w:gridCol w:w="989"/>
        <w:gridCol w:w="1020"/>
        <w:gridCol w:w="1275"/>
        <w:gridCol w:w="9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w:t>
            </w:r>
          </w:p>
        </w:tc>
        <w:tc>
          <w:tcPr>
            <w:tcW w:w="2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服务职责描述</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单价（元）</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服务（月）</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合计（元）</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运营主管</w:t>
            </w:r>
          </w:p>
        </w:tc>
        <w:tc>
          <w:tcPr>
            <w:tcW w:w="225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1、负责平台整体运营，制定运营策略并组织执行，负责的平台的年度、季度、月度销售计划；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2、负责网站的整体运营(管理用户需求分析、网站优化与推广、流量分析等工作)；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3、了解同行运营策略，能有效了解同行的各项流程、推广策略、营销策略及产品策略等；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4、分析平台数据，并作出改进方案，善于统计、分析平台各类数据、提出改进方案、带领团队进行平台日常的维护、推广等；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5、与系统开发方对接，及时处理信息系统及网络中所遇到的问题。</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5700.00 </w:t>
            </w: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205200.00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运营专员</w:t>
            </w:r>
          </w:p>
        </w:tc>
        <w:tc>
          <w:tcPr>
            <w:tcW w:w="225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1、制定营销推广方案，线上和平县乡村振兴产品公共服务系统营销工具研究，制定营销推广方案，提高店铺流量，提升产品点击率、浏览量、转化率等指标；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2、根据平台、品牌、节日等波段策划营销活动，活动跟踪、异常处理、活动总结及改进；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3、分析店铺数据并及时调整；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4、分析店铺运营、销售的相关指标，根据店铺的数据和市场情况，调整各店铺的运营节奏，完成店铺销售目标；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5、团队成员的工作安排及指导，协调部门与部门之间的关系；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6、统计店铺日常费用+业绩，负责店铺运营费用统计，日常数据资料汇总。</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2900.00 </w:t>
            </w: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104400.00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美工设计</w:t>
            </w:r>
          </w:p>
        </w:tc>
        <w:tc>
          <w:tcPr>
            <w:tcW w:w="225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1、展销平台内容建设的布局和结构等方面的整体规划和文字编辑工作；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2、负责公司线上和平县乡村振兴产品公共服务系统各个渠道的整体形象设计、商品展示设计、详情页优化、整体布局、活动推广等；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3、负责品牌整体形象的创意设计，把握店铺的整体风格和视觉呈现，全面提升网站的整体视觉效果；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4、负责对产品拍摄及方案策划、对品牌的创意策略和创意构思进行提案工作，配合公司整体的营销策略以达到预期的市场效果；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5、为美术、文字、动画等创意作品的创意概念发起、指导、执行的整体过程负责，出品把控；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6、做好部门之间的协调工作，根据各部门任职要求，设计及制作相应的资料。</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3700.00 </w:t>
            </w: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266400.00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客服人员</w:t>
            </w:r>
          </w:p>
        </w:tc>
        <w:tc>
          <w:tcPr>
            <w:tcW w:w="2259" w:type="pct"/>
            <w:tcBorders>
              <w:top w:val="single" w:color="000000" w:sz="4" w:space="0"/>
              <w:left w:val="single" w:color="000000" w:sz="4" w:space="0"/>
              <w:bottom w:val="nil"/>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1、通过展销平台接待客户，解答疑问，促成交易，获取订单；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2、负责答复、跟进及反馈客户咨询，熟练操作店铺后台，处理订单、及时准确修改备注、进行订单跟进并能解决一般投诉售后和物流跟进；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3、经过培训后，熟悉公司产品和流程，能有效地为不同顾客做推荐与解答；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4、对于各种最新优惠活动能清晰了解，及时提醒顾客并备注其特殊要求，及时沟通，避免出错。</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3.00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2900.00 </w:t>
            </w: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313200.00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财务人员</w:t>
            </w:r>
          </w:p>
        </w:tc>
        <w:tc>
          <w:tcPr>
            <w:tcW w:w="2259" w:type="pct"/>
            <w:tcBorders>
              <w:top w:val="single" w:color="000000" w:sz="4" w:space="0"/>
              <w:left w:val="single" w:color="000000" w:sz="4" w:space="0"/>
              <w:bottom w:val="nil"/>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1、负责平台入驻商家业务销售的审核，对账，核算。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2、定期对各项数据进行分析、检查。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3、对平台的业务资金收付、结算工作。</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3700.00 </w:t>
            </w: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133200.00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推广专员</w:t>
            </w:r>
          </w:p>
        </w:tc>
        <w:tc>
          <w:tcPr>
            <w:tcW w:w="2259" w:type="pct"/>
            <w:tcBorders>
              <w:top w:val="single" w:color="000000" w:sz="4" w:space="0"/>
              <w:left w:val="single" w:color="000000" w:sz="4" w:space="0"/>
              <w:bottom w:val="nil"/>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1、负责店铺的整体推广计划，根据平台及店铺目标制定合理有效的投放计划，执行并跟进效果；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2、收集、分析投放数据，及时调整投放计划和重点，提高展现量，降低点击成本，增加点击量，提升ROI，配合店铺整体销售进度；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3、配合店铺运营，进行测试、选品，打造新品、爆款；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4、定期整理、分析运营推广数据，并输出报告。</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3200.00 </w:t>
            </w: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115200.00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信息数据专员</w:t>
            </w:r>
          </w:p>
        </w:tc>
        <w:tc>
          <w:tcPr>
            <w:tcW w:w="2259" w:type="pct"/>
            <w:tcBorders>
              <w:top w:val="single" w:color="000000" w:sz="4" w:space="0"/>
              <w:left w:val="single" w:color="000000" w:sz="4" w:space="0"/>
              <w:bottom w:val="nil"/>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1、负责总部的所有渠道信息的回访筛选、对接、系统录入工作；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2、负责运营商信息的监督抽检工作；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3、独立完成所有信息的数据分析和分类工作；</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2900.00 </w:t>
            </w: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104400.00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物流统筹员（主管、打单、发货）</w:t>
            </w:r>
          </w:p>
        </w:tc>
        <w:tc>
          <w:tcPr>
            <w:tcW w:w="2259" w:type="pct"/>
            <w:tcBorders>
              <w:top w:val="single" w:color="000000" w:sz="4" w:space="0"/>
              <w:left w:val="single" w:color="000000" w:sz="4" w:space="0"/>
              <w:bottom w:val="nil"/>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1、有物流、包装相关的知识(调度、生产、出货物流、仓库管理、进出口、打包、运输、包装知识等)。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2、有一定的统筹能力。</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2900.00 </w:t>
            </w: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208800.00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品控人员</w:t>
            </w:r>
          </w:p>
        </w:tc>
        <w:tc>
          <w:tcPr>
            <w:tcW w:w="2259" w:type="pct"/>
            <w:tcBorders>
              <w:top w:val="single" w:color="000000" w:sz="4" w:space="0"/>
              <w:left w:val="single" w:color="000000" w:sz="4" w:space="0"/>
              <w:bottom w:val="nil"/>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1、熟悉并解受检产品的结构，性能及使用要求；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2、按照技术标准对受检产品进行质量检验工作；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3、对产品的生产条件、使用材料、检验设备等问题向有关部门提出意见；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4、有权拒检严重违反技术要求，不负责任、粗制滥造的产品；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5、向有关部门领导等提供质量方面的反馈数据，根据产品存在的问题，分析原因，提出预防和改进的意见供主管领导和有关部门领导参考；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按照技术标准条件做好每个项目的检查记录，防止错检、漏检，及时发现产品中出现的不良品并打上标记，要求并监督制造方采取有效措施认真管理，防止不良产品、不合格产品混入合格产品而埋下质量隐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7、签发产品合格与否的质量证明。</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3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3200.00 </w:t>
            </w: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115200.00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218"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1566000.00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宋体" w:hAnsi="宋体" w:eastAsia="宋体" w:cs="宋体"/>
                <w:b/>
                <w:bCs/>
                <w:i w:val="0"/>
                <w:iCs w:val="0"/>
                <w:color w:val="000000"/>
                <w:sz w:val="20"/>
                <w:szCs w:val="20"/>
                <w:u w:val="none"/>
              </w:rPr>
            </w:pPr>
          </w:p>
        </w:tc>
      </w:tr>
    </w:tbl>
    <w:p>
      <w:pPr>
        <w:pStyle w:val="2"/>
        <w:rPr>
          <w:rFonts w:hint="default"/>
          <w:lang w:val="en-US" w:eastAsia="zh-CN"/>
        </w:rPr>
        <w:sectPr>
          <w:pgSz w:w="16838" w:h="11906" w:orient="landscape"/>
          <w:pgMar w:top="1797" w:right="1440" w:bottom="1797" w:left="1440" w:header="1304" w:footer="992" w:gutter="0"/>
          <w:pgBorders>
            <w:top w:val="none" w:sz="0" w:space="0"/>
            <w:left w:val="none" w:sz="0" w:space="0"/>
            <w:bottom w:val="none" w:sz="0" w:space="0"/>
            <w:right w:val="none" w:sz="0" w:space="0"/>
          </w:pgBorders>
          <w:pgNumType w:fmt="decimal"/>
          <w:cols w:space="425" w:num="1"/>
          <w:docGrid w:type="lines" w:linePitch="326" w:charSpace="0"/>
        </w:sectPr>
      </w:pPr>
    </w:p>
    <w:p>
      <w:pPr>
        <w:pStyle w:val="3"/>
        <w:numPr>
          <w:ilvl w:val="0"/>
          <w:numId w:val="37"/>
        </w:numPr>
        <w:tabs>
          <w:tab w:val="clear" w:pos="3402"/>
          <w:tab w:val="clear" w:pos="3828"/>
        </w:tabs>
        <w:ind w:left="432" w:leftChars="0"/>
        <w:jc w:val="center"/>
        <w:rPr>
          <w:rFonts w:hint="eastAsia" w:ascii="Times New Roman" w:hAnsi="Times New Roman"/>
          <w:color w:val="000000" w:themeColor="text1"/>
          <w:sz w:val="36"/>
          <w:szCs w:val="36"/>
          <w:lang w:val="en-US" w:eastAsia="zh-CN"/>
          <w14:textFill>
            <w14:solidFill>
              <w14:schemeClr w14:val="tx1"/>
            </w14:solidFill>
          </w14:textFill>
        </w:rPr>
      </w:pPr>
      <w:r>
        <w:rPr>
          <w:rFonts w:hint="eastAsia" w:ascii="Times New Roman" w:hAnsi="Times New Roman"/>
          <w:color w:val="000000" w:themeColor="text1"/>
          <w:sz w:val="36"/>
          <w:szCs w:val="36"/>
          <w:lang w:val="en-US" w:eastAsia="zh-CN"/>
          <w14:textFill>
            <w14:solidFill>
              <w14:schemeClr w14:val="tx1"/>
            </w14:solidFill>
          </w14:textFill>
        </w:rPr>
        <w:t xml:space="preserve"> </w:t>
      </w:r>
      <w:bookmarkStart w:id="415" w:name="_Toc12472"/>
      <w:r>
        <w:rPr>
          <w:rFonts w:hint="eastAsia" w:ascii="Times New Roman" w:hAnsi="Times New Roman"/>
          <w:color w:val="000000" w:themeColor="text1"/>
          <w:sz w:val="36"/>
          <w:szCs w:val="36"/>
          <w:lang w:val="en-US" w:eastAsia="zh-CN"/>
          <w14:textFill>
            <w14:solidFill>
              <w14:schemeClr w14:val="tx1"/>
            </w14:solidFill>
          </w14:textFill>
        </w:rPr>
        <w:t>非信息化建设方案</w:t>
      </w:r>
      <w:bookmarkEnd w:id="415"/>
    </w:p>
    <w:p>
      <w:pPr>
        <w:pStyle w:val="3"/>
        <w:keepNext/>
        <w:keepLines/>
        <w:pageBreakBefore w:val="0"/>
        <w:widowControl w:val="0"/>
        <w:numPr>
          <w:ilvl w:val="0"/>
          <w:numId w:val="38"/>
        </w:numPr>
        <w:tabs>
          <w:tab w:val="clear" w:pos="3402"/>
          <w:tab w:val="clear" w:pos="3828"/>
        </w:tabs>
        <w:kinsoku/>
        <w:wordWrap/>
        <w:overflowPunct/>
        <w:topLinePunct w:val="0"/>
        <w:autoSpaceDE/>
        <w:autoSpaceDN/>
        <w:bidi w:val="0"/>
        <w:adjustRightInd/>
        <w:snapToGrid/>
        <w:ind w:left="431"/>
        <w:textAlignment w:val="auto"/>
        <w:rPr>
          <w:rFonts w:hint="eastAsia" w:ascii="Times New Roman" w:hAnsi="Times New Roman" w:cs="宋体"/>
          <w:color w:val="000000" w:themeColor="text1"/>
          <w:szCs w:val="32"/>
          <w:lang w:val="en-US" w:eastAsia="zh-CN"/>
          <w14:textFill>
            <w14:solidFill>
              <w14:schemeClr w14:val="tx1"/>
            </w14:solidFill>
          </w14:textFill>
        </w:rPr>
      </w:pPr>
      <w:bookmarkStart w:id="416" w:name="_Toc30072"/>
      <w:r>
        <w:rPr>
          <w:rFonts w:hint="eastAsia" w:ascii="Times New Roman" w:hAnsi="Times New Roman" w:cs="宋体"/>
          <w:color w:val="000000" w:themeColor="text1"/>
          <w:szCs w:val="32"/>
          <w:lang w:val="en-US" w:eastAsia="zh-CN"/>
          <w14:textFill>
            <w14:solidFill>
              <w14:schemeClr w14:val="tx1"/>
            </w14:solidFill>
          </w14:textFill>
        </w:rPr>
        <w:t>项目方案</w:t>
      </w:r>
      <w:bookmarkEnd w:id="416"/>
    </w:p>
    <w:p>
      <w:pPr>
        <w:pStyle w:val="4"/>
        <w:numPr>
          <w:ilvl w:val="1"/>
          <w:numId w:val="0"/>
        </w:numPr>
        <w:bidi w:val="0"/>
        <w:ind w:leftChars="0"/>
        <w:jc w:val="center"/>
        <w:rPr>
          <w:rFonts w:hint="default"/>
          <w:lang w:val="en-US" w:eastAsia="zh-CN"/>
        </w:rPr>
      </w:pPr>
      <w:bookmarkStart w:id="417" w:name="_Toc22099"/>
      <w:r>
        <w:rPr>
          <w:rFonts w:hint="eastAsia"/>
          <w:lang w:val="en-US" w:eastAsia="zh-CN"/>
        </w:rPr>
        <w:t>1.1 建设内容</w:t>
      </w:r>
      <w:bookmarkEnd w:id="417"/>
    </w:p>
    <w:tbl>
      <w:tblPr>
        <w:tblStyle w:val="3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3100"/>
        <w:gridCol w:w="44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539"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824"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63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服务内容及实现功能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trPr>
        <w:tc>
          <w:tcPr>
            <w:tcW w:w="5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w:t>
            </w:r>
          </w:p>
        </w:tc>
        <w:tc>
          <w:tcPr>
            <w:tcW w:w="18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和平县农产品上行体系建设</w:t>
            </w:r>
          </w:p>
        </w:tc>
        <w:tc>
          <w:tcPr>
            <w:tcW w:w="2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1、针对当地特色农产品，开展分级、包装、预冷、加工等，对农产品的标准化、质量认证等综合性建设。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2、通过对和平县农产品品牌做品牌管理体系升级优化，使其贴近市场，扩大区域公用品牌效应，提高区域特优产品销售量。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3、打造和平电商直播基地，培养及挖掘电商直播人才</w:t>
            </w:r>
            <w:r>
              <w:rPr>
                <w:rFonts w:hint="eastAsia"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4、和平农产品抖音帐号的打造及短视频的制作</w:t>
            </w:r>
            <w:r>
              <w:rPr>
                <w:rFonts w:hint="eastAsia" w:cs="宋体"/>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5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w:t>
            </w:r>
          </w:p>
        </w:tc>
        <w:tc>
          <w:tcPr>
            <w:tcW w:w="1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电商运营维护</w:t>
            </w:r>
          </w:p>
        </w:tc>
        <w:tc>
          <w:tcPr>
            <w:tcW w:w="2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现有191个电商站点进行设备维护及人员管理培训</w:t>
            </w:r>
          </w:p>
        </w:tc>
      </w:tr>
    </w:tbl>
    <w:p>
      <w:pPr>
        <w:pStyle w:val="4"/>
        <w:keepNext/>
        <w:keepLines/>
        <w:pageBreakBefore/>
        <w:widowControl/>
        <w:kinsoku/>
        <w:wordWrap/>
        <w:overflowPunct/>
        <w:topLinePunct w:val="0"/>
        <w:autoSpaceDE/>
        <w:autoSpaceDN/>
        <w:bidi w:val="0"/>
        <w:adjustRightInd/>
        <w:snapToGrid/>
        <w:textAlignment w:val="auto"/>
        <w:rPr>
          <w:rFonts w:hint="eastAsia" w:cs="宋体"/>
          <w:lang w:val="en-US" w:eastAsia="zh-CN"/>
        </w:rPr>
      </w:pPr>
      <w:bookmarkStart w:id="418" w:name="_Toc5729"/>
      <w:r>
        <w:rPr>
          <w:rFonts w:hint="eastAsia"/>
          <w:lang w:val="en-US" w:eastAsia="zh-CN"/>
        </w:rPr>
        <w:t>和平县农产品上行体系建设</w:t>
      </w:r>
      <w:bookmarkEnd w:id="418"/>
    </w:p>
    <w:p>
      <w:pPr>
        <w:pStyle w:val="5"/>
        <w:tabs>
          <w:tab w:val="left" w:pos="1080"/>
          <w:tab w:val="clear" w:pos="720"/>
        </w:tabs>
        <w:bidi w:val="0"/>
        <w:rPr>
          <w:rFonts w:hint="eastAsia" w:cs="宋体"/>
          <w:lang w:val="en-US" w:eastAsia="zh-CN"/>
        </w:rPr>
      </w:pPr>
      <w:bookmarkStart w:id="419" w:name="_Toc7819"/>
      <w:r>
        <w:rPr>
          <w:rFonts w:hint="eastAsia" w:cs="宋体"/>
          <w:lang w:val="en-US" w:eastAsia="zh-CN"/>
        </w:rPr>
        <w:t>和平县农产品加工和认证中心</w:t>
      </w:r>
      <w:bookmarkEnd w:id="419"/>
    </w:p>
    <w:p>
      <w:pPr>
        <w:pStyle w:val="6"/>
        <w:bidi w:val="0"/>
        <w:rPr>
          <w:rFonts w:hint="default"/>
          <w:lang w:val="en-US" w:eastAsia="zh-CN"/>
        </w:rPr>
      </w:pPr>
      <w:r>
        <w:rPr>
          <w:rFonts w:hint="eastAsia"/>
          <w:lang w:val="en-US" w:eastAsia="zh-CN"/>
        </w:rPr>
        <w:t>建设目标</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firstLine="454" w:firstLineChars="0"/>
        <w:jc w:val="left"/>
        <w:textAlignment w:val="auto"/>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为农村特色产品（主要为果蔬、食用菌、大米等产品）分级加工、包装、预冷、检测、运输等加工和商品化处理功能的设施设备；</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firstLine="454" w:firstLineChars="0"/>
        <w:jc w:val="left"/>
        <w:textAlignment w:val="auto"/>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配套完善生产线、果蔬清洗、烘干、杀菌、计量、包装、仓储等工艺的农产品分级设施，能对当地农产品网络化提供服务支撑条件；</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firstLine="454" w:firstLineChars="0"/>
        <w:jc w:val="left"/>
        <w:textAlignment w:val="auto"/>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在农村产品生产加工、品质认证、市场运营等方面建立明确的规范化流程。</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firstLine="454" w:firstLineChars="0"/>
        <w:jc w:val="left"/>
        <w:textAlignment w:val="auto"/>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通过与南方菜篮子联盟进行战略合作，构建南方菜篮子与和平县农产品加工认证中心的联动模式，利用南方菜篮子联盟强大的营销模式与资源平台，助力和平县农产品上行，利用粤港澳大湾区区域优势，将示范基地标准化优质好货直通大湾区消费群，助力农产品上行，实现消费助农。</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firstLine="454" w:firstLineChars="0"/>
        <w:jc w:val="left"/>
        <w:textAlignment w:val="auto"/>
        <w:rPr>
          <w:rFonts w:hint="default"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南方菜篮子与和平县国家电子商务公共服务中心都拥有天猫、淘宝、京东、微信小程序等丰富的线上电商销售渠道，强强联合能够实现线上产品销售渠道嫁接，运用互联网思维拓宽和平县农特产品销售渠道，丰富和平县农特产品销售模式，通过构建和平县农业产品电商产业链的模式，助力农产品上行。</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firstLine="454" w:firstLineChars="0"/>
        <w:jc w:val="left"/>
        <w:textAlignment w:val="auto"/>
        <w:rPr>
          <w:rFonts w:hint="eastAsia" w:ascii="Times New Roman" w:hAnsi="Times New Roman" w:eastAsia="宋体" w:cs="宋体"/>
          <w:bCs/>
          <w:color w:val="000000"/>
          <w:kern w:val="0"/>
          <w:sz w:val="24"/>
          <w:szCs w:val="28"/>
          <w:lang w:val="zh-Hans" w:eastAsia="zh-CN" w:bidi="ar"/>
        </w:rPr>
      </w:pPr>
      <w:r>
        <w:rPr>
          <w:rFonts w:hint="eastAsia" w:ascii="Times New Roman" w:hAnsi="Times New Roman" w:eastAsia="宋体" w:cs="宋体"/>
          <w:bCs/>
          <w:color w:val="000000"/>
          <w:kern w:val="0"/>
          <w:sz w:val="24"/>
          <w:szCs w:val="28"/>
          <w:lang w:val="zh-Hans" w:eastAsia="zh-CN" w:bidi="ar"/>
        </w:rPr>
        <w:t xml:space="preserve">产销结合——线下 </w:t>
      </w:r>
    </w:p>
    <w:p>
      <w:pPr>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南方菜篮子拥有粤港澳大湾区上千个中高档社区资源，每年举办数千场社区推广活动。社区营销活动直接面对消费人群，目标人群集中，宣传比较直接，可信度高，更有利于口碑宣传。在城市中，星罗棋布的社区蕴藏着巨大无比的潜力。将示范基地直供的优质农产品与社区推广活动进行联动，实现好货直通大湾区，社区营销活动将助力和平县农特产品更高效进行宣传推广和销售，大大提升产品销售量，最终实现助力农产品上行的效果。</w:t>
      </w:r>
    </w:p>
    <w:p>
      <w:pPr>
        <w:pStyle w:val="6"/>
        <w:bidi w:val="0"/>
        <w:rPr>
          <w:rFonts w:hint="default"/>
          <w:lang w:val="en-US" w:eastAsia="zh-CN"/>
        </w:rPr>
      </w:pPr>
      <w:r>
        <w:rPr>
          <w:rFonts w:hint="eastAsia"/>
          <w:lang w:val="en-US" w:eastAsia="zh-CN"/>
        </w:rPr>
        <w:t>建设绩效</w:t>
      </w:r>
    </w:p>
    <w:p>
      <w:pPr>
        <w:keepNext w:val="0"/>
        <w:keepLines w:val="0"/>
        <w:pageBreakBefore w:val="0"/>
        <w:widowControl w:val="0"/>
        <w:numPr>
          <w:ilvl w:val="0"/>
          <w:numId w:val="40"/>
        </w:numPr>
        <w:kinsoku/>
        <w:wordWrap/>
        <w:overflowPunct/>
        <w:topLinePunct w:val="0"/>
        <w:autoSpaceDE/>
        <w:autoSpaceDN/>
        <w:bidi w:val="0"/>
        <w:adjustRightInd/>
        <w:snapToGrid/>
        <w:spacing w:line="360" w:lineRule="auto"/>
        <w:ind w:left="0" w:leftChars="0" w:firstLine="454" w:firstLineChars="0"/>
        <w:jc w:val="left"/>
        <w:textAlignment w:val="auto"/>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对和平县区域内如油茶、茶叶、腐竹、果蔬、食用菌、黄酒等重点产品及相关扶贫产品的生产（种植）和销售情况进行全面了解，择优选取1-2个产品的生产企业进驻基地，基地为这些入驻企业提供与其相配套的标准化生产及认证服务，引导入驻企业改良及升级农副产品，让基地能对当地农产品网络标准化提供支撑条件及示范作用；</w:t>
      </w:r>
    </w:p>
    <w:p>
      <w:pPr>
        <w:keepNext w:val="0"/>
        <w:keepLines w:val="0"/>
        <w:pageBreakBefore w:val="0"/>
        <w:widowControl w:val="0"/>
        <w:numPr>
          <w:ilvl w:val="0"/>
          <w:numId w:val="40"/>
        </w:numPr>
        <w:kinsoku/>
        <w:wordWrap/>
        <w:overflowPunct/>
        <w:topLinePunct w:val="0"/>
        <w:autoSpaceDE/>
        <w:autoSpaceDN/>
        <w:bidi w:val="0"/>
        <w:adjustRightInd/>
        <w:snapToGrid/>
        <w:spacing w:line="360" w:lineRule="auto"/>
        <w:ind w:left="0" w:leftChars="0" w:firstLine="454" w:firstLineChars="0"/>
        <w:jc w:val="left"/>
        <w:textAlignment w:val="auto"/>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对农村流通体系进行标准化建设，完善产品供应链，在农村产品生产加工、品质认证、市场运营等方面建立明确的规范化流程 ，确保流通体系的健康有序发展。</w:t>
      </w:r>
    </w:p>
    <w:p>
      <w:pPr>
        <w:keepNext w:val="0"/>
        <w:keepLines w:val="0"/>
        <w:pageBreakBefore w:val="0"/>
        <w:widowControl w:val="0"/>
        <w:numPr>
          <w:ilvl w:val="0"/>
          <w:numId w:val="40"/>
        </w:numPr>
        <w:kinsoku/>
        <w:wordWrap/>
        <w:overflowPunct/>
        <w:topLinePunct w:val="0"/>
        <w:autoSpaceDE/>
        <w:autoSpaceDN/>
        <w:bidi w:val="0"/>
        <w:adjustRightInd/>
        <w:snapToGrid/>
        <w:spacing w:line="360" w:lineRule="auto"/>
        <w:ind w:left="0" w:leftChars="0" w:firstLine="454" w:firstLineChars="0"/>
        <w:jc w:val="left"/>
        <w:textAlignment w:val="auto"/>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项目中标企业应在“和平县农产品加工和认证中心”的显著位置标识“国家电子商务进农村综合示范项目”字样。同时，配套冻库、产品检测室、仓储、快递发货场所，为优质的电商、农产品生产企业提供配套服务。</w:t>
      </w:r>
    </w:p>
    <w:p>
      <w:pPr>
        <w:keepNext w:val="0"/>
        <w:keepLines w:val="0"/>
        <w:pageBreakBefore w:val="0"/>
        <w:widowControl w:val="0"/>
        <w:numPr>
          <w:ilvl w:val="0"/>
          <w:numId w:val="40"/>
        </w:numPr>
        <w:kinsoku/>
        <w:wordWrap/>
        <w:overflowPunct/>
        <w:topLinePunct w:val="0"/>
        <w:autoSpaceDE/>
        <w:autoSpaceDN/>
        <w:bidi w:val="0"/>
        <w:adjustRightInd/>
        <w:snapToGrid/>
        <w:spacing w:line="360" w:lineRule="auto"/>
        <w:ind w:left="0" w:leftChars="0" w:firstLine="454" w:firstLineChars="0"/>
        <w:jc w:val="left"/>
        <w:textAlignment w:val="auto"/>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贯穿和平县一、二、三产业，衔接农业的产前、产中、产后，实现农村产品产业化、农村产品网络化，基地的建成优先聘请贫困户及当地劳动力，带动当地就业，同时通过基地大力推广和平农产品网货标准化，指导、引导已有传统生产企业转型升级，让和平的农产品做大做强；</w:t>
      </w:r>
    </w:p>
    <w:p>
      <w:pPr>
        <w:keepNext w:val="0"/>
        <w:keepLines w:val="0"/>
        <w:pageBreakBefore w:val="0"/>
        <w:widowControl w:val="0"/>
        <w:numPr>
          <w:ilvl w:val="0"/>
          <w:numId w:val="40"/>
        </w:numPr>
        <w:kinsoku/>
        <w:wordWrap/>
        <w:overflowPunct/>
        <w:topLinePunct w:val="0"/>
        <w:autoSpaceDE/>
        <w:autoSpaceDN/>
        <w:bidi w:val="0"/>
        <w:adjustRightInd/>
        <w:snapToGrid/>
        <w:spacing w:line="360" w:lineRule="auto"/>
        <w:ind w:left="0" w:leftChars="0" w:firstLine="454" w:firstLineChars="0"/>
        <w:jc w:val="left"/>
        <w:textAlignment w:val="auto"/>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合理开发和利用和平县区域内农业资源，促进和平县农业和农村经济持续发展；</w:t>
      </w:r>
    </w:p>
    <w:p>
      <w:pPr>
        <w:keepNext w:val="0"/>
        <w:keepLines w:val="0"/>
        <w:pageBreakBefore w:val="0"/>
        <w:widowControl w:val="0"/>
        <w:numPr>
          <w:ilvl w:val="0"/>
          <w:numId w:val="40"/>
        </w:numPr>
        <w:kinsoku/>
        <w:wordWrap/>
        <w:overflowPunct/>
        <w:topLinePunct w:val="0"/>
        <w:autoSpaceDE/>
        <w:autoSpaceDN/>
        <w:bidi w:val="0"/>
        <w:adjustRightInd/>
        <w:snapToGrid/>
        <w:spacing w:line="360" w:lineRule="auto"/>
        <w:ind w:left="0" w:leftChars="0" w:firstLine="454" w:firstLineChars="0"/>
        <w:jc w:val="left"/>
        <w:textAlignment w:val="auto"/>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提高和平县农产品质量，增强和平县农产品市场竞争力，起到网上农产品标准的示范作用；</w:t>
      </w:r>
    </w:p>
    <w:p>
      <w:pPr>
        <w:pStyle w:val="6"/>
        <w:bidi w:val="0"/>
        <w:rPr>
          <w:rFonts w:hint="eastAsia"/>
          <w:lang w:val="en-US" w:eastAsia="zh-CN"/>
        </w:rPr>
      </w:pPr>
      <w:r>
        <w:rPr>
          <w:rFonts w:hint="eastAsia"/>
          <w:lang w:val="en-US" w:eastAsia="zh-CN"/>
        </w:rPr>
        <w:t>加工和认证中心平面图</w:t>
      </w:r>
    </w:p>
    <w:p>
      <w:pPr>
        <w:pStyle w:val="42"/>
        <w:rPr>
          <w:rFonts w:hint="default"/>
          <w:lang w:val="en-US" w:eastAsia="zh-CN"/>
        </w:rPr>
      </w:pPr>
      <w:r>
        <w:rPr>
          <w:rFonts w:hint="default"/>
          <w:lang w:val="en-US" w:eastAsia="zh-CN"/>
        </w:rPr>
        <w:drawing>
          <wp:inline distT="0" distB="0" distL="114300" distR="114300">
            <wp:extent cx="5271770" cy="3446780"/>
            <wp:effectExtent l="0" t="0" r="5080" b="1270"/>
            <wp:docPr id="56" name="图片 56" descr="和平县农产品加工认证中心装修工程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和平县农产品加工认证中心装修工程 Model (1)"/>
                    <pic:cNvPicPr>
                      <a:picLocks noChangeAspect="1"/>
                    </pic:cNvPicPr>
                  </pic:nvPicPr>
                  <pic:blipFill>
                    <a:blip r:embed="rId54"/>
                    <a:stretch>
                      <a:fillRect/>
                    </a:stretch>
                  </pic:blipFill>
                  <pic:spPr>
                    <a:xfrm>
                      <a:off x="0" y="0"/>
                      <a:ext cx="5271770" cy="3446780"/>
                    </a:xfrm>
                    <a:prstGeom prst="rect">
                      <a:avLst/>
                    </a:prstGeom>
                  </pic:spPr>
                </pic:pic>
              </a:graphicData>
            </a:graphic>
          </wp:inline>
        </w:drawing>
      </w:r>
    </w:p>
    <w:p>
      <w:pPr>
        <w:jc w:val="center"/>
        <w:rPr>
          <w:rFonts w:hint="default"/>
          <w:sz w:val="21"/>
          <w:szCs w:val="16"/>
          <w:lang w:val="en-US" w:eastAsia="zh-CN"/>
        </w:rPr>
      </w:pPr>
      <w:r>
        <w:rPr>
          <w:rFonts w:hint="eastAsia"/>
          <w:sz w:val="21"/>
          <w:szCs w:val="16"/>
          <w:lang w:val="en-US" w:eastAsia="zh-CN"/>
        </w:rPr>
        <w:t>图1.1.1-1 加工和认证中心原始平面图</w:t>
      </w:r>
    </w:p>
    <w:p>
      <w:pPr>
        <w:pStyle w:val="42"/>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69865" cy="3327400"/>
            <wp:effectExtent l="0" t="0" r="6985" b="6350"/>
            <wp:docPr id="60" name="图片 60" descr="和平县农产品加工认证中心装修工程 Mo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和平县农产品加工认证中心装修工程 Model (2)"/>
                    <pic:cNvPicPr>
                      <a:picLocks noChangeAspect="1"/>
                    </pic:cNvPicPr>
                  </pic:nvPicPr>
                  <pic:blipFill>
                    <a:blip r:embed="rId55"/>
                    <a:stretch>
                      <a:fillRect/>
                    </a:stretch>
                  </pic:blipFill>
                  <pic:spPr>
                    <a:xfrm>
                      <a:off x="0" y="0"/>
                      <a:ext cx="5269865" cy="3327400"/>
                    </a:xfrm>
                    <a:prstGeom prst="rect">
                      <a:avLst/>
                    </a:prstGeom>
                  </pic:spPr>
                </pic:pic>
              </a:graphicData>
            </a:graphic>
          </wp:inline>
        </w:drawing>
      </w:r>
    </w:p>
    <w:p>
      <w:pPr>
        <w:jc w:val="center"/>
        <w:rPr>
          <w:rFonts w:hint="default"/>
          <w:lang w:val="en-US" w:eastAsia="zh-CN"/>
        </w:rPr>
      </w:pPr>
      <w:r>
        <w:rPr>
          <w:rFonts w:hint="eastAsia"/>
          <w:sz w:val="21"/>
          <w:szCs w:val="16"/>
          <w:lang w:val="en-US" w:eastAsia="zh-CN"/>
        </w:rPr>
        <w:t>图1.1.1-2 加工和认证中心改造后一层平面图</w:t>
      </w:r>
    </w:p>
    <w:p>
      <w:pPr>
        <w:pStyle w:val="16"/>
        <w:rPr>
          <w:rFonts w:hint="default"/>
          <w:lang w:val="en-US" w:eastAsia="zh-CN"/>
        </w:rPr>
      </w:pPr>
      <w:r>
        <w:rPr>
          <w:rFonts w:hint="default"/>
          <w:lang w:val="en-US" w:eastAsia="zh-CN"/>
        </w:rPr>
        <w:drawing>
          <wp:inline distT="0" distB="0" distL="114300" distR="114300">
            <wp:extent cx="5269865" cy="3016885"/>
            <wp:effectExtent l="0" t="0" r="6985" b="12065"/>
            <wp:docPr id="61" name="图片 61" descr="和平县农产品加工认证中心装修工程 Mod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和平县农产品加工认证中心装修工程 Model (3)"/>
                    <pic:cNvPicPr>
                      <a:picLocks noChangeAspect="1"/>
                    </pic:cNvPicPr>
                  </pic:nvPicPr>
                  <pic:blipFill>
                    <a:blip r:embed="rId56"/>
                    <a:stretch>
                      <a:fillRect/>
                    </a:stretch>
                  </pic:blipFill>
                  <pic:spPr>
                    <a:xfrm>
                      <a:off x="0" y="0"/>
                      <a:ext cx="5269865" cy="3016885"/>
                    </a:xfrm>
                    <a:prstGeom prst="rect">
                      <a:avLst/>
                    </a:prstGeom>
                  </pic:spPr>
                </pic:pic>
              </a:graphicData>
            </a:graphic>
          </wp:inline>
        </w:drawing>
      </w:r>
    </w:p>
    <w:p>
      <w:pPr>
        <w:jc w:val="center"/>
        <w:rPr>
          <w:rFonts w:hint="default"/>
          <w:lang w:val="en-US" w:eastAsia="zh-CN"/>
        </w:rPr>
      </w:pPr>
      <w:r>
        <w:rPr>
          <w:rFonts w:hint="eastAsia"/>
          <w:sz w:val="21"/>
          <w:szCs w:val="16"/>
          <w:lang w:val="en-US" w:eastAsia="zh-CN"/>
        </w:rPr>
        <w:t>图1.1.1-3 加工和认证中心改造后二层平面图</w:t>
      </w:r>
    </w:p>
    <w:p>
      <w:pPr>
        <w:pStyle w:val="6"/>
        <w:bidi w:val="0"/>
        <w:rPr>
          <w:rFonts w:hint="default"/>
          <w:lang w:val="en-US" w:eastAsia="zh-CN"/>
        </w:rPr>
      </w:pPr>
      <w:r>
        <w:rPr>
          <w:rFonts w:hint="eastAsia"/>
          <w:lang w:val="en-US" w:eastAsia="zh-CN"/>
        </w:rPr>
        <w:t>加工和认证中心分区</w:t>
      </w:r>
    </w:p>
    <w:p>
      <w:pPr>
        <w:pStyle w:val="16"/>
        <w:keepNext w:val="0"/>
        <w:keepLines w:val="0"/>
        <w:pageBreakBefore w:val="0"/>
        <w:kinsoku/>
        <w:wordWrap/>
        <w:overflowPunct/>
        <w:topLinePunct w:val="0"/>
        <w:bidi w:val="0"/>
        <w:snapToGrid/>
        <w:spacing w:after="0" w:line="360" w:lineRule="auto"/>
        <w:ind w:firstLine="480" w:firstLineChars="200"/>
        <w:textAlignment w:val="auto"/>
        <w:rPr>
          <w:rFonts w:hint="eastAsia" w:ascii="宋体" w:hAnsi="宋体" w:cs="宋体"/>
          <w:lang w:val="en-US" w:eastAsia="zh-CN"/>
        </w:rPr>
      </w:pPr>
      <w:r>
        <w:rPr>
          <w:rFonts w:hint="eastAsia" w:cs="宋体"/>
          <w:lang w:val="en-US" w:eastAsia="zh-CN"/>
        </w:rPr>
        <w:t>加工和</w:t>
      </w:r>
      <w:r>
        <w:rPr>
          <w:rFonts w:hint="eastAsia" w:ascii="宋体" w:hAnsi="宋体" w:eastAsia="宋体" w:cs="宋体"/>
          <w:lang w:val="en-US" w:eastAsia="zh-CN"/>
        </w:rPr>
        <w:t>认证中心</w:t>
      </w:r>
      <w:r>
        <w:rPr>
          <w:rFonts w:hint="eastAsia" w:ascii="宋体" w:hAnsi="宋体" w:cs="宋体"/>
          <w:lang w:val="en-US" w:eastAsia="zh-CN"/>
        </w:rPr>
        <w:t>共有两层</w:t>
      </w:r>
      <w:r>
        <w:rPr>
          <w:rFonts w:hint="eastAsia" w:ascii="宋体" w:hAnsi="宋体" w:eastAsia="宋体" w:cs="宋体"/>
          <w:lang w:val="en-US" w:eastAsia="zh-CN"/>
        </w:rPr>
        <w:t>，</w:t>
      </w:r>
      <w:r>
        <w:rPr>
          <w:rFonts w:hint="eastAsia" w:ascii="宋体" w:hAnsi="宋体" w:cs="宋体"/>
          <w:lang w:val="en-US" w:eastAsia="zh-CN"/>
        </w:rPr>
        <w:t>每层</w:t>
      </w:r>
      <w:r>
        <w:rPr>
          <w:rFonts w:hint="eastAsia" w:ascii="宋体" w:hAnsi="宋体" w:eastAsia="宋体" w:cs="宋体"/>
          <w:lang w:val="en-US" w:eastAsia="zh-CN"/>
        </w:rPr>
        <w:t>面积约为500</w:t>
      </w:r>
      <w:r>
        <w:rPr>
          <w:rFonts w:hint="eastAsia" w:ascii="宋体" w:hAnsi="宋体" w:cs="宋体"/>
          <w:lang w:val="en-US" w:eastAsia="zh-CN"/>
        </w:rPr>
        <w:t>平方米。</w:t>
      </w:r>
    </w:p>
    <w:p>
      <w:pPr>
        <w:pStyle w:val="42"/>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cs="宋体"/>
          <w:lang w:val="en-US" w:eastAsia="zh-CN"/>
        </w:rPr>
      </w:pPr>
      <w:r>
        <w:rPr>
          <w:rFonts w:hint="eastAsia" w:ascii="宋体" w:hAnsi="宋体" w:cs="宋体"/>
          <w:lang w:val="en-US" w:eastAsia="zh-CN"/>
        </w:rPr>
        <w:t>其中中心一层分为：包装材料库房、外包装车间、内包装车间、内材消毒车间、加工车间（烘干、冷却、回软）、成品库房、原材料库房、原材料处理车间、原材料清洗车间、原材料验收车间。</w:t>
      </w:r>
    </w:p>
    <w:p>
      <w:pPr>
        <w:keepNext w:val="0"/>
        <w:keepLines w:val="0"/>
        <w:pageBreakBefore w:val="0"/>
        <w:kinsoku/>
        <w:wordWrap/>
        <w:overflowPunct/>
        <w:topLinePunct w:val="0"/>
        <w:bidi w:val="0"/>
        <w:snapToGrid/>
        <w:spacing w:line="360" w:lineRule="auto"/>
        <w:textAlignment w:val="auto"/>
        <w:rPr>
          <w:rFonts w:hint="eastAsia" w:ascii="宋体" w:hAnsi="宋体" w:cs="宋体"/>
          <w:lang w:val="en-US" w:eastAsia="zh-CN"/>
        </w:rPr>
      </w:pPr>
      <w:r>
        <w:rPr>
          <w:rFonts w:hint="eastAsia" w:ascii="宋体" w:hAnsi="宋体" w:cs="宋体"/>
          <w:lang w:val="en-US" w:eastAsia="zh-CN"/>
        </w:rPr>
        <w:t>中心二层分为：产品展示区、会议室、办公室（3间）、检验室（2间）、留样室。</w:t>
      </w:r>
    </w:p>
    <w:p>
      <w:pPr>
        <w:pStyle w:val="6"/>
        <w:bidi w:val="0"/>
        <w:rPr>
          <w:rFonts w:hint="default"/>
          <w:lang w:val="en-US" w:eastAsia="zh-CN"/>
        </w:rPr>
      </w:pPr>
      <w:r>
        <w:rPr>
          <w:rFonts w:hint="eastAsia"/>
          <w:lang w:val="en-US" w:eastAsia="zh-CN"/>
        </w:rPr>
        <w:t>办公用品配置</w:t>
      </w:r>
    </w:p>
    <w:p>
      <w:pPr>
        <w:pStyle w:val="16"/>
        <w:ind w:firstLine="480" w:firstLineChars="200"/>
        <w:rPr>
          <w:rFonts w:hint="eastAsia" w:ascii="宋体" w:hAnsi="宋体" w:eastAsia="宋体" w:cs="宋体"/>
          <w:lang w:val="en-US" w:eastAsia="zh-CN"/>
        </w:rPr>
      </w:pPr>
      <w:r>
        <w:rPr>
          <w:rFonts w:hint="eastAsia" w:ascii="宋体" w:hAnsi="宋体" w:eastAsia="宋体" w:cs="宋体"/>
          <w:lang w:val="en-US" w:eastAsia="zh-CN"/>
        </w:rPr>
        <w:t>办公室位于2层，共3间。设备配置如下表所示：</w:t>
      </w:r>
    </w:p>
    <w:tbl>
      <w:tblPr>
        <w:tblStyle w:val="34"/>
        <w:tblW w:w="56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6"/>
        <w:gridCol w:w="243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设备材料名称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4人位办公桌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职员椅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4人位办公桌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职员椅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会客+休闲沙发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单人位办公桌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单人位办公椅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bl>
    <w:p>
      <w:pPr>
        <w:pStyle w:val="42"/>
        <w:jc w:val="center"/>
        <w:rPr>
          <w:rFonts w:hint="default"/>
          <w:lang w:val="en-US" w:eastAsia="zh-CN"/>
        </w:rPr>
      </w:pPr>
      <w:r>
        <w:rPr>
          <w:rFonts w:hint="eastAsia" w:ascii="宋体" w:hAnsi="宋体" w:eastAsia="宋体" w:cs="宋体"/>
          <w:sz w:val="21"/>
          <w:szCs w:val="21"/>
          <w:lang w:val="en-US" w:eastAsia="zh-CN"/>
        </w:rPr>
        <w:t>表4.3.1-1 办公室设备配置表</w:t>
      </w:r>
    </w:p>
    <w:p>
      <w:pPr>
        <w:pStyle w:val="6"/>
        <w:bidi w:val="0"/>
        <w:rPr>
          <w:rFonts w:hint="default"/>
          <w:lang w:val="en-US" w:eastAsia="zh-CN"/>
        </w:rPr>
      </w:pPr>
      <w:r>
        <w:rPr>
          <w:rFonts w:hint="eastAsia"/>
          <w:lang w:val="en-US" w:eastAsia="zh-CN"/>
        </w:rPr>
        <w:t>设备配置</w:t>
      </w:r>
    </w:p>
    <w:p>
      <w:pPr>
        <w:pStyle w:val="7"/>
        <w:bidi w:val="0"/>
        <w:rPr>
          <w:rFonts w:hint="default"/>
          <w:lang w:val="en-US" w:eastAsia="zh-CN"/>
        </w:rPr>
      </w:pPr>
      <w:r>
        <w:rPr>
          <w:rFonts w:hint="eastAsia"/>
          <w:lang w:val="en-US" w:eastAsia="zh-CN"/>
        </w:rPr>
        <w:t>整体配置</w:t>
      </w:r>
    </w:p>
    <w:p>
      <w:pPr>
        <w:keepNext w:val="0"/>
        <w:keepLines w:val="0"/>
        <w:pageBreakBefore w:val="0"/>
        <w:numPr>
          <w:ilvl w:val="0"/>
          <w:numId w:val="41"/>
        </w:numPr>
        <w:kinsoku/>
        <w:wordWrap/>
        <w:overflowPunct/>
        <w:topLinePunct w:val="0"/>
        <w:bidi w:val="0"/>
        <w:snapToGrid/>
        <w:spacing w:line="360" w:lineRule="auto"/>
        <w:ind w:left="905" w:leftChars="0" w:hanging="425" w:firstLineChars="0"/>
        <w:textAlignment w:val="auto"/>
        <w:rPr>
          <w:rFonts w:hint="eastAsia" w:ascii="宋体" w:hAnsi="宋体" w:eastAsia="宋体" w:cs="宋体"/>
          <w:b/>
          <w:bCs/>
          <w:lang w:val="en-US" w:eastAsia="zh-CN"/>
        </w:rPr>
      </w:pPr>
      <w:r>
        <w:rPr>
          <w:rFonts w:hint="default" w:ascii="宋体" w:hAnsi="宋体" w:eastAsia="宋体" w:cs="宋体"/>
          <w:b/>
          <w:bCs/>
          <w:lang w:val="en-US" w:eastAsia="zh-CN"/>
        </w:rPr>
        <w:t>运输车辆</w:t>
      </w:r>
      <w:r>
        <w:rPr>
          <w:rFonts w:hint="eastAsia" w:cs="宋体"/>
          <w:b/>
          <w:bCs/>
          <w:lang w:val="en-US" w:eastAsia="zh-CN"/>
        </w:rPr>
        <w:t>1</w:t>
      </w:r>
      <w:r>
        <w:rPr>
          <w:rFonts w:hint="eastAsia" w:ascii="宋体" w:hAnsi="宋体" w:eastAsia="宋体" w:cs="宋体"/>
          <w:b/>
          <w:bCs/>
          <w:lang w:val="en-US" w:eastAsia="zh-CN"/>
        </w:rPr>
        <w:t>辆</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容量1.495吨，用于</w:t>
      </w:r>
      <w:r>
        <w:rPr>
          <w:rFonts w:hint="eastAsia" w:cs="宋体"/>
          <w:lang w:val="en-US" w:eastAsia="zh-CN"/>
        </w:rPr>
        <w:t>运输</w:t>
      </w:r>
      <w:r>
        <w:rPr>
          <w:rFonts w:hint="eastAsia" w:ascii="宋体" w:hAnsi="宋体" w:eastAsia="宋体" w:cs="宋体"/>
          <w:lang w:val="en-US" w:eastAsia="zh-CN"/>
        </w:rPr>
        <w:t>农产品</w:t>
      </w:r>
      <w:r>
        <w:rPr>
          <w:rFonts w:hint="eastAsia" w:cs="宋体"/>
          <w:lang w:val="en-US" w:eastAsia="zh-CN"/>
        </w:rPr>
        <w:t>。</w:t>
      </w:r>
    </w:p>
    <w:p>
      <w:pPr>
        <w:keepNext w:val="0"/>
        <w:keepLines w:val="0"/>
        <w:pageBreakBefore w:val="0"/>
        <w:numPr>
          <w:ilvl w:val="0"/>
          <w:numId w:val="41"/>
        </w:numPr>
        <w:kinsoku/>
        <w:wordWrap/>
        <w:overflowPunct/>
        <w:topLinePunct w:val="0"/>
        <w:bidi w:val="0"/>
        <w:snapToGrid/>
        <w:spacing w:line="360" w:lineRule="auto"/>
        <w:ind w:left="905" w:leftChars="0" w:hanging="425" w:firstLineChars="0"/>
        <w:textAlignment w:val="auto"/>
        <w:rPr>
          <w:rFonts w:hint="eastAsia" w:ascii="宋体" w:hAnsi="宋体" w:eastAsia="宋体" w:cs="宋体"/>
          <w:b/>
          <w:bCs/>
          <w:lang w:val="en-US" w:eastAsia="zh-CN"/>
        </w:rPr>
      </w:pPr>
      <w:r>
        <w:rPr>
          <w:rFonts w:hint="default" w:ascii="宋体" w:hAnsi="宋体" w:eastAsia="宋体" w:cs="宋体"/>
          <w:b/>
          <w:bCs/>
          <w:lang w:val="en-US" w:eastAsia="zh-CN"/>
        </w:rPr>
        <w:t>4轮电动叉车</w:t>
      </w:r>
      <w:r>
        <w:rPr>
          <w:rFonts w:hint="eastAsia" w:cs="宋体"/>
          <w:b/>
          <w:bCs/>
          <w:lang w:val="en-US" w:eastAsia="zh-CN"/>
        </w:rPr>
        <w:t>1</w:t>
      </w:r>
      <w:r>
        <w:rPr>
          <w:rFonts w:hint="eastAsia" w:ascii="宋体" w:hAnsi="宋体" w:eastAsia="宋体" w:cs="宋体"/>
          <w:b/>
          <w:bCs/>
          <w:lang w:val="en-US" w:eastAsia="zh-CN"/>
        </w:rPr>
        <w:t>辆</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载重2吨，用于搬运农产品，提高作业效率,降低人员劳动强度，改善劳动条件；节约劳动力提高劳动生产率。</w:t>
      </w:r>
    </w:p>
    <w:p>
      <w:pPr>
        <w:keepNext w:val="0"/>
        <w:keepLines w:val="0"/>
        <w:pageBreakBefore w:val="0"/>
        <w:numPr>
          <w:ilvl w:val="0"/>
          <w:numId w:val="41"/>
        </w:numPr>
        <w:kinsoku/>
        <w:wordWrap/>
        <w:overflowPunct/>
        <w:topLinePunct w:val="0"/>
        <w:bidi w:val="0"/>
        <w:snapToGrid/>
        <w:spacing w:line="360" w:lineRule="auto"/>
        <w:ind w:left="905" w:leftChars="0" w:hanging="425" w:firstLineChars="0"/>
        <w:textAlignment w:val="auto"/>
        <w:rPr>
          <w:rFonts w:hint="eastAsia" w:ascii="宋体" w:hAnsi="宋体" w:eastAsia="宋体" w:cs="宋体"/>
          <w:b/>
          <w:bCs/>
          <w:lang w:val="en-US" w:eastAsia="zh-CN"/>
        </w:rPr>
      </w:pPr>
      <w:r>
        <w:rPr>
          <w:rFonts w:hint="default" w:ascii="宋体" w:hAnsi="宋体" w:eastAsia="宋体" w:cs="宋体"/>
          <w:b/>
          <w:bCs/>
          <w:lang w:val="en-US" w:eastAsia="zh-CN"/>
        </w:rPr>
        <w:t>冷库（租用）</w:t>
      </w:r>
    </w:p>
    <w:p>
      <w:pPr>
        <w:pStyle w:val="16"/>
        <w:ind w:firstLine="480" w:firstLineChars="200"/>
        <w:rPr>
          <w:rFonts w:hint="eastAsia" w:ascii="宋体" w:hAnsi="宋体" w:cs="宋体"/>
          <w:lang w:val="en-US" w:eastAsia="zh-CN"/>
        </w:rPr>
      </w:pPr>
      <w:r>
        <w:rPr>
          <w:rFonts w:hint="eastAsia" w:ascii="宋体" w:hAnsi="宋体" w:eastAsia="宋体" w:cs="宋体"/>
          <w:kern w:val="2"/>
          <w:sz w:val="24"/>
          <w:szCs w:val="20"/>
          <w:lang w:val="en-US" w:eastAsia="zh-CN" w:bidi="ar-SA"/>
        </w:rPr>
        <w:t>容量</w:t>
      </w:r>
      <w:r>
        <w:rPr>
          <w:rFonts w:hint="eastAsia" w:ascii="宋体" w:hAnsi="宋体" w:cs="宋体"/>
          <w:kern w:val="2"/>
          <w:sz w:val="24"/>
          <w:szCs w:val="20"/>
          <w:lang w:val="en-US" w:eastAsia="zh-CN" w:bidi="ar-SA"/>
        </w:rPr>
        <w:t>3</w:t>
      </w:r>
      <w:r>
        <w:rPr>
          <w:rFonts w:hint="eastAsia" w:ascii="宋体" w:hAnsi="宋体" w:eastAsia="宋体" w:cs="宋体"/>
          <w:kern w:val="2"/>
          <w:sz w:val="24"/>
          <w:szCs w:val="20"/>
          <w:lang w:val="en-US" w:eastAsia="zh-CN" w:bidi="ar-SA"/>
        </w:rPr>
        <w:t>00</w:t>
      </w:r>
      <w:r>
        <w:rPr>
          <w:rFonts w:hint="eastAsia" w:ascii="宋体" w:hAnsi="宋体" w:cs="宋体"/>
          <w:kern w:val="2"/>
          <w:sz w:val="24"/>
          <w:szCs w:val="20"/>
          <w:lang w:val="en-US" w:eastAsia="zh-CN" w:bidi="ar-SA"/>
        </w:rPr>
        <w:t>立方米，用于暂时储存</w:t>
      </w:r>
      <w:r>
        <w:rPr>
          <w:rFonts w:hint="eastAsia" w:ascii="宋体" w:hAnsi="宋体" w:eastAsia="宋体" w:cs="宋体"/>
          <w:lang w:val="en-US" w:eastAsia="zh-CN"/>
        </w:rPr>
        <w:t>农产品</w:t>
      </w:r>
      <w:r>
        <w:rPr>
          <w:rFonts w:hint="eastAsia" w:ascii="宋体" w:hAnsi="宋体" w:cs="宋体"/>
          <w:lang w:val="en-US" w:eastAsia="zh-CN"/>
        </w:rPr>
        <w:t>。</w:t>
      </w:r>
    </w:p>
    <w:p>
      <w:pPr>
        <w:keepNext w:val="0"/>
        <w:keepLines w:val="0"/>
        <w:pageBreakBefore w:val="0"/>
        <w:numPr>
          <w:ilvl w:val="0"/>
          <w:numId w:val="41"/>
        </w:numPr>
        <w:kinsoku/>
        <w:wordWrap/>
        <w:overflowPunct/>
        <w:topLinePunct w:val="0"/>
        <w:bidi w:val="0"/>
        <w:snapToGrid/>
        <w:spacing w:line="360" w:lineRule="auto"/>
        <w:ind w:left="905" w:leftChars="0" w:hanging="425" w:firstLineChars="0"/>
        <w:textAlignment w:val="auto"/>
        <w:rPr>
          <w:rFonts w:hint="default" w:ascii="宋体" w:hAnsi="宋体" w:eastAsia="宋体" w:cs="宋体"/>
          <w:b/>
          <w:bCs/>
          <w:lang w:val="en-US" w:eastAsia="zh-CN"/>
        </w:rPr>
      </w:pPr>
      <w:r>
        <w:rPr>
          <w:rFonts w:hint="default" w:ascii="宋体" w:hAnsi="宋体" w:eastAsia="宋体" w:cs="宋体"/>
          <w:b/>
          <w:bCs/>
          <w:lang w:val="en-US" w:eastAsia="zh-CN"/>
        </w:rPr>
        <w:t>厂区周转箱</w:t>
      </w:r>
      <w:r>
        <w:rPr>
          <w:rFonts w:hint="eastAsia" w:cs="宋体"/>
          <w:b/>
          <w:bCs/>
          <w:lang w:val="en-US" w:eastAsia="zh-CN"/>
        </w:rPr>
        <w:t>1批</w:t>
      </w:r>
    </w:p>
    <w:p>
      <w:pPr>
        <w:pStyle w:val="16"/>
        <w:keepNext w:val="0"/>
        <w:keepLines w:val="0"/>
        <w:pageBreakBefore w:val="0"/>
        <w:widowControl/>
        <w:kinsoku/>
        <w:wordWrap/>
        <w:overflowPunct/>
        <w:topLinePunct w:val="0"/>
        <w:autoSpaceDE/>
        <w:autoSpaceDN/>
        <w:bidi w:val="0"/>
        <w:adjustRightInd/>
        <w:snapToGrid/>
        <w:spacing w:after="0"/>
        <w:ind w:firstLine="480" w:firstLineChars="200"/>
        <w:textAlignment w:val="auto"/>
        <w:rPr>
          <w:rFonts w:hint="default" w:ascii="宋体" w:hAnsi="宋体" w:eastAsia="宋体" w:cs="宋体"/>
          <w:kern w:val="2"/>
          <w:sz w:val="24"/>
          <w:szCs w:val="20"/>
          <w:lang w:val="en-US" w:eastAsia="zh-CN" w:bidi="ar-SA"/>
        </w:rPr>
      </w:pPr>
      <w:r>
        <w:rPr>
          <w:rFonts w:hint="default" w:ascii="宋体" w:hAnsi="宋体" w:eastAsia="宋体" w:cs="宋体"/>
          <w:kern w:val="2"/>
          <w:sz w:val="24"/>
          <w:szCs w:val="20"/>
          <w:lang w:val="en-US" w:eastAsia="zh-CN" w:bidi="ar-SA"/>
        </w:rPr>
        <w:t>800筐80*57*51cm不带轮</w:t>
      </w:r>
      <w:r>
        <w:rPr>
          <w:rFonts w:hint="eastAsia" w:ascii="宋体" w:hAnsi="宋体" w:cs="宋体"/>
          <w:kern w:val="2"/>
          <w:sz w:val="24"/>
          <w:szCs w:val="20"/>
          <w:lang w:val="en-US" w:eastAsia="zh-CN" w:bidi="ar-SA"/>
        </w:rPr>
        <w:t>；</w:t>
      </w:r>
      <w:r>
        <w:rPr>
          <w:rFonts w:hint="default" w:ascii="宋体" w:hAnsi="宋体" w:eastAsia="宋体" w:cs="宋体"/>
          <w:kern w:val="2"/>
          <w:sz w:val="24"/>
          <w:szCs w:val="20"/>
          <w:lang w:val="en-US" w:eastAsia="zh-CN" w:bidi="ar-SA"/>
        </w:rPr>
        <w:t>800筐80*57*51cm带轮</w:t>
      </w:r>
      <w:r>
        <w:rPr>
          <w:rFonts w:hint="eastAsia" w:ascii="宋体" w:hAnsi="宋体" w:cs="宋体"/>
          <w:kern w:val="2"/>
          <w:sz w:val="24"/>
          <w:szCs w:val="20"/>
          <w:lang w:val="en-US" w:eastAsia="zh-CN" w:bidi="ar-SA"/>
        </w:rPr>
        <w:t>；</w:t>
      </w:r>
      <w:r>
        <w:rPr>
          <w:rFonts w:hint="default" w:ascii="宋体" w:hAnsi="宋体" w:eastAsia="宋体" w:cs="宋体"/>
          <w:kern w:val="2"/>
          <w:sz w:val="24"/>
          <w:szCs w:val="20"/>
          <w:lang w:val="en-US" w:eastAsia="zh-CN" w:bidi="ar-SA"/>
        </w:rPr>
        <w:t>30#方盘，720*600*80</w:t>
      </w:r>
      <w:r>
        <w:rPr>
          <w:rFonts w:hint="eastAsia" w:ascii="宋体" w:hAnsi="宋体" w:cs="宋体"/>
          <w:kern w:val="2"/>
          <w:sz w:val="24"/>
          <w:szCs w:val="20"/>
          <w:lang w:val="en-US" w:eastAsia="zh-CN" w:bidi="ar-SA"/>
        </w:rPr>
        <w:t>。用于工作区间转运各类果蔬产品。</w:t>
      </w:r>
    </w:p>
    <w:p>
      <w:pPr>
        <w:pStyle w:val="7"/>
        <w:bidi w:val="0"/>
        <w:rPr>
          <w:rFonts w:hint="eastAsia"/>
          <w:lang w:val="en-US" w:eastAsia="zh-CN"/>
        </w:rPr>
      </w:pPr>
      <w:r>
        <w:rPr>
          <w:rFonts w:hint="eastAsia"/>
          <w:lang w:val="en-US" w:eastAsia="zh-CN"/>
        </w:rPr>
        <w:t>外包装车间</w:t>
      </w:r>
    </w:p>
    <w:p>
      <w:pPr>
        <w:keepNext w:val="0"/>
        <w:keepLines w:val="0"/>
        <w:pageBreakBefore w:val="0"/>
        <w:numPr>
          <w:ilvl w:val="0"/>
          <w:numId w:val="42"/>
        </w:numPr>
        <w:kinsoku/>
        <w:wordWrap/>
        <w:overflowPunct/>
        <w:topLinePunct w:val="0"/>
        <w:bidi w:val="0"/>
        <w:snapToGrid/>
        <w:spacing w:line="360" w:lineRule="auto"/>
        <w:ind w:left="905" w:leftChars="0" w:hanging="425" w:firstLineChars="0"/>
        <w:textAlignment w:val="auto"/>
        <w:rPr>
          <w:rFonts w:hint="eastAsia" w:ascii="宋体" w:hAnsi="宋体" w:eastAsia="宋体" w:cs="宋体"/>
          <w:b/>
          <w:bCs/>
          <w:lang w:val="en-US" w:eastAsia="zh-CN"/>
        </w:rPr>
      </w:pPr>
      <w:r>
        <w:rPr>
          <w:rFonts w:hint="eastAsia" w:ascii="宋体" w:hAnsi="宋体" w:eastAsia="宋体" w:cs="宋体"/>
          <w:b/>
          <w:bCs/>
          <w:lang w:val="en-US" w:eastAsia="zh-CN"/>
        </w:rPr>
        <w:t>自动枕式包装机1台</w:t>
      </w:r>
    </w:p>
    <w:p>
      <w:pPr>
        <w:rPr>
          <w:rFonts w:hint="eastAsia"/>
          <w:lang w:val="en-US" w:eastAsia="zh-CN"/>
        </w:rPr>
      </w:pPr>
      <w:r>
        <w:rPr>
          <w:rFonts w:hint="eastAsia"/>
          <w:lang w:val="en-US" w:eastAsia="zh-CN"/>
        </w:rPr>
        <w:t>适合多种规格用于食品和非食品包装的连续式包装机。不但能用于无商标包装材料的包装，而且能够使用预先印有商标图案的卷筒材料进行高速包装。</w:t>
      </w:r>
    </w:p>
    <w:p>
      <w:pPr>
        <w:keepNext w:val="0"/>
        <w:keepLines w:val="0"/>
        <w:pageBreakBefore w:val="0"/>
        <w:numPr>
          <w:ilvl w:val="0"/>
          <w:numId w:val="42"/>
        </w:numPr>
        <w:kinsoku/>
        <w:wordWrap/>
        <w:overflowPunct/>
        <w:topLinePunct w:val="0"/>
        <w:bidi w:val="0"/>
        <w:snapToGrid/>
        <w:spacing w:line="360" w:lineRule="auto"/>
        <w:ind w:left="905" w:leftChars="0" w:hanging="425" w:firstLineChars="0"/>
        <w:textAlignment w:val="auto"/>
        <w:rPr>
          <w:rFonts w:hint="eastAsia" w:ascii="宋体" w:hAnsi="宋体" w:eastAsia="宋体" w:cs="宋体"/>
          <w:b/>
          <w:bCs/>
          <w:lang w:val="en-US" w:eastAsia="zh-CN"/>
        </w:rPr>
      </w:pPr>
      <w:r>
        <w:rPr>
          <w:rFonts w:hint="eastAsia" w:ascii="宋体" w:hAnsi="宋体" w:eastAsia="宋体" w:cs="宋体"/>
          <w:b/>
          <w:bCs/>
          <w:lang w:val="en-US" w:eastAsia="zh-CN"/>
        </w:rPr>
        <w:t>自动封罐机（带防护罩）1台</w:t>
      </w:r>
    </w:p>
    <w:p>
      <w:pPr>
        <w:rPr>
          <w:rFonts w:hint="eastAsia"/>
          <w:lang w:val="en-US" w:eastAsia="zh-CN"/>
        </w:rPr>
      </w:pPr>
      <w:r>
        <w:rPr>
          <w:rFonts w:hint="eastAsia" w:ascii="宋体" w:hAnsi="宋体" w:eastAsia="宋体" w:cs="宋体"/>
          <w:b w:val="0"/>
          <w:bCs w:val="0"/>
          <w:lang w:val="en-US" w:eastAsia="zh-CN"/>
        </w:rPr>
        <w:t>自动封</w:t>
      </w:r>
      <w:r>
        <w:rPr>
          <w:rFonts w:hint="eastAsia"/>
          <w:b w:val="0"/>
          <w:bCs w:val="0"/>
          <w:lang w:val="en-US" w:eastAsia="zh-CN"/>
        </w:rPr>
        <w:t>罐</w:t>
      </w:r>
      <w:r>
        <w:rPr>
          <w:rFonts w:hint="eastAsia"/>
          <w:lang w:val="en-US" w:eastAsia="zh-CN"/>
        </w:rPr>
        <w:t>盖联控设</w:t>
      </w:r>
      <w:r>
        <w:rPr>
          <w:rFonts w:hint="eastAsia" w:ascii="宋体" w:hAnsi="宋体" w:eastAsia="宋体" w:cs="宋体"/>
          <w:b w:val="0"/>
          <w:bCs w:val="0"/>
          <w:lang w:val="en-US" w:eastAsia="zh-CN"/>
        </w:rPr>
        <w:t>置，当有罐身进入时，才相应配给罐盖，无罐则无盖。无人化操作，全自动下盖和封口</w:t>
      </w:r>
      <w:r>
        <w:rPr>
          <w:rFonts w:hint="eastAsia" w:cs="宋体"/>
          <w:b w:val="0"/>
          <w:bCs w:val="0"/>
          <w:lang w:val="en-US" w:eastAsia="zh-CN"/>
        </w:rPr>
        <w:t>。适用于各种马口铁罐、PET 塑料罐、铝合金罐、纸罐等各种圆形规格易拉罐的封口。</w:t>
      </w:r>
    </w:p>
    <w:p>
      <w:pPr>
        <w:keepNext w:val="0"/>
        <w:keepLines w:val="0"/>
        <w:pageBreakBefore w:val="0"/>
        <w:numPr>
          <w:ilvl w:val="0"/>
          <w:numId w:val="42"/>
        </w:numPr>
        <w:kinsoku/>
        <w:wordWrap/>
        <w:overflowPunct/>
        <w:topLinePunct w:val="0"/>
        <w:bidi w:val="0"/>
        <w:snapToGrid/>
        <w:spacing w:line="360" w:lineRule="auto"/>
        <w:ind w:left="905" w:leftChars="0" w:hanging="425" w:firstLineChars="0"/>
        <w:textAlignment w:val="auto"/>
        <w:rPr>
          <w:rFonts w:hint="eastAsia" w:ascii="宋体" w:hAnsi="宋体" w:eastAsia="宋体" w:cs="宋体"/>
          <w:b/>
          <w:bCs/>
          <w:lang w:val="en-US" w:eastAsia="zh-CN"/>
        </w:rPr>
      </w:pPr>
      <w:r>
        <w:rPr>
          <w:rFonts w:hint="eastAsia" w:ascii="宋体" w:hAnsi="宋体" w:eastAsia="宋体" w:cs="宋体"/>
          <w:b/>
          <w:bCs/>
          <w:lang w:val="en-US" w:eastAsia="zh-CN"/>
        </w:rPr>
        <w:t>工字型封箱机（自动适应不同大小纸箱、带自动折盖）1台</w:t>
      </w:r>
    </w:p>
    <w:p>
      <w:pPr>
        <w:rPr>
          <w:rFonts w:hint="eastAsia"/>
          <w:lang w:val="en-US" w:eastAsia="zh-CN"/>
        </w:rPr>
      </w:pPr>
      <w:r>
        <w:rPr>
          <w:rFonts w:hint="eastAsia"/>
          <w:lang w:val="en-US" w:eastAsia="zh-CN"/>
        </w:rPr>
        <w:t>配合流水线作业时只需将纸箱底步的四面折弯放入物品，折好盖子，推入两侧皮带驱动的输送轨道内，自动工字型封箱，一次性完成。</w:t>
      </w:r>
    </w:p>
    <w:p>
      <w:pPr>
        <w:keepNext w:val="0"/>
        <w:keepLines w:val="0"/>
        <w:pageBreakBefore w:val="0"/>
        <w:numPr>
          <w:ilvl w:val="0"/>
          <w:numId w:val="42"/>
        </w:numPr>
        <w:kinsoku/>
        <w:wordWrap/>
        <w:overflowPunct/>
        <w:topLinePunct w:val="0"/>
        <w:bidi w:val="0"/>
        <w:snapToGrid/>
        <w:spacing w:line="360" w:lineRule="auto"/>
        <w:ind w:left="905" w:leftChars="0" w:hanging="425" w:firstLineChars="0"/>
        <w:textAlignment w:val="auto"/>
        <w:rPr>
          <w:rFonts w:hint="eastAsia" w:ascii="宋体" w:hAnsi="宋体" w:eastAsia="宋体" w:cs="宋体"/>
          <w:b/>
          <w:bCs/>
          <w:lang w:val="en-US" w:eastAsia="zh-CN"/>
        </w:rPr>
      </w:pPr>
      <w:r>
        <w:rPr>
          <w:rFonts w:hint="eastAsia" w:ascii="宋体" w:hAnsi="宋体" w:eastAsia="宋体" w:cs="宋体"/>
          <w:b/>
          <w:bCs/>
          <w:lang w:val="en-US" w:eastAsia="zh-CN"/>
        </w:rPr>
        <w:t>打包发货专用全自动开箱机1台</w:t>
      </w:r>
    </w:p>
    <w:p>
      <w:pPr>
        <w:rPr>
          <w:rFonts w:hint="default"/>
          <w:lang w:val="en-US" w:eastAsia="zh-CN"/>
        </w:rPr>
      </w:pPr>
      <w:r>
        <w:rPr>
          <w:rFonts w:hint="default"/>
          <w:lang w:val="en-US" w:eastAsia="zh-CN"/>
        </w:rPr>
        <w:t>自动完成开箱、成形、下底折叶折曲.并现时完成下部分胶带粘贴，将叠成纸板的箱板自动打开，箱子底部按一定程序折合，并用胶带密封后输送给装箱机</w:t>
      </w:r>
      <w:r>
        <w:rPr>
          <w:rFonts w:hint="eastAsia"/>
          <w:lang w:val="en-US" w:eastAsia="zh-CN"/>
        </w:rPr>
        <w:t>。</w:t>
      </w:r>
    </w:p>
    <w:p>
      <w:pPr>
        <w:pStyle w:val="7"/>
        <w:bidi w:val="0"/>
        <w:rPr>
          <w:rFonts w:hint="default"/>
          <w:lang w:val="en-US" w:eastAsia="zh-CN"/>
        </w:rPr>
      </w:pPr>
      <w:r>
        <w:rPr>
          <w:rFonts w:hint="eastAsia"/>
          <w:lang w:val="en-US" w:eastAsia="zh-CN"/>
        </w:rPr>
        <w:t>原材料清洗车间</w:t>
      </w:r>
    </w:p>
    <w:p>
      <w:pPr>
        <w:rPr>
          <w:rFonts w:hint="eastAsia" w:ascii="宋体" w:hAnsi="宋体" w:eastAsia="宋体" w:cs="宋体"/>
          <w:b/>
          <w:bCs/>
          <w:lang w:val="en-US" w:eastAsia="zh-CN"/>
        </w:rPr>
      </w:pPr>
      <w:r>
        <w:rPr>
          <w:rFonts w:hint="eastAsia" w:ascii="宋体" w:hAnsi="宋体" w:eastAsia="宋体" w:cs="宋体"/>
          <w:b/>
          <w:bCs/>
          <w:lang w:val="en-US" w:eastAsia="zh-CN"/>
        </w:rPr>
        <w:t>果蔬清洗机1台</w:t>
      </w:r>
    </w:p>
    <w:p>
      <w:pPr>
        <w:rPr>
          <w:rFonts w:hint="eastAsia"/>
          <w:lang w:val="en-US" w:eastAsia="zh-CN"/>
        </w:rPr>
      </w:pPr>
      <w:r>
        <w:rPr>
          <w:rFonts w:hint="default"/>
          <w:lang w:val="en-US" w:eastAsia="zh-CN"/>
        </w:rPr>
        <w:t>设备采用不锈钢SUS304材料制成，符合食品卫生要求。设备中设有气泡发生装置，使物料呈翻滚状态，是产品清洗、脱盐的设备，同时可加入适量的药剂，进行消毒固色。漂浮物可以从溢流槽溢出，沉淀物从排污口排出，以达到清洗的目的。具有清洗洁净率高、脱盐能力大、节能、节水、运行稳定可靠特点。</w:t>
      </w:r>
    </w:p>
    <w:p>
      <w:pPr>
        <w:pStyle w:val="7"/>
        <w:bidi w:val="0"/>
        <w:rPr>
          <w:rFonts w:hint="eastAsia"/>
          <w:lang w:val="en-US" w:eastAsia="zh-CN"/>
        </w:rPr>
      </w:pPr>
      <w:r>
        <w:rPr>
          <w:rFonts w:hint="eastAsia"/>
          <w:lang w:val="en-US" w:eastAsia="zh-CN"/>
        </w:rPr>
        <w:t>原材料处理车间</w:t>
      </w:r>
    </w:p>
    <w:p>
      <w:pPr>
        <w:numPr>
          <w:ilvl w:val="0"/>
          <w:numId w:val="43"/>
        </w:numPr>
        <w:ind w:left="905" w:leftChars="0" w:hanging="425" w:firstLineChars="0"/>
        <w:rPr>
          <w:rFonts w:hint="eastAsia" w:ascii="宋体" w:hAnsi="宋体" w:eastAsia="宋体" w:cs="宋体"/>
          <w:b/>
          <w:bCs/>
          <w:lang w:val="en-US" w:eastAsia="zh-CN"/>
        </w:rPr>
      </w:pPr>
      <w:r>
        <w:rPr>
          <w:rFonts w:hint="default" w:ascii="宋体" w:hAnsi="宋体" w:eastAsia="宋体" w:cs="宋体"/>
          <w:b/>
          <w:bCs/>
          <w:lang w:val="en-US" w:eastAsia="zh-CN"/>
        </w:rPr>
        <w:t>果蔬预煮机</w:t>
      </w:r>
      <w:r>
        <w:rPr>
          <w:rFonts w:hint="eastAsia" w:ascii="宋体" w:hAnsi="宋体" w:eastAsia="宋体" w:cs="宋体"/>
          <w:b/>
          <w:bCs/>
          <w:lang w:val="en-US" w:eastAsia="zh-CN"/>
        </w:rPr>
        <w:t>1台</w:t>
      </w:r>
    </w:p>
    <w:p>
      <w:pPr>
        <w:rPr>
          <w:rFonts w:hint="default"/>
          <w:lang w:val="en-US" w:eastAsia="zh-CN"/>
        </w:rPr>
      </w:pPr>
      <w:r>
        <w:rPr>
          <w:rFonts w:hint="default"/>
          <w:lang w:val="en-US" w:eastAsia="zh-CN"/>
        </w:rPr>
        <w:t>主要用于食品加工前期处理，预煮机采用水浴式蒸煮原理，传送式设计可连续工作，设备采用手自控温系统，(无缝不锈钢盘管)水质升温快、受热均匀、温差小、温度可调，适合于不同产品的连续性杀青、漂烫等加工。蒸煮流水线可将</w:t>
      </w:r>
      <w:r>
        <w:rPr>
          <w:rFonts w:hint="eastAsia"/>
          <w:lang w:val="en-US" w:eastAsia="zh-CN"/>
        </w:rPr>
        <w:t>果蔬</w:t>
      </w:r>
      <w:r>
        <w:rPr>
          <w:rFonts w:hint="default"/>
          <w:lang w:val="en-US" w:eastAsia="zh-CN"/>
        </w:rPr>
        <w:t>均衡的混合在介质水中，提供了对</w:t>
      </w:r>
      <w:r>
        <w:rPr>
          <w:rFonts w:hint="eastAsia"/>
          <w:lang w:val="en-US" w:eastAsia="zh-CN"/>
        </w:rPr>
        <w:t>果蔬</w:t>
      </w:r>
      <w:r>
        <w:rPr>
          <w:rFonts w:hint="default"/>
          <w:lang w:val="en-US" w:eastAsia="zh-CN"/>
        </w:rPr>
        <w:t>的预煮效果，可调速式输送系统可控制产品的预煮时间，合格的完成产品的蒸煮工艺。预煮机采用电能或蒸汽为能源，是根据热力学原理及针对食品的各项要求设计制造的，可对不同规格的制品进行预煮处理</w:t>
      </w:r>
      <w:r>
        <w:rPr>
          <w:rFonts w:hint="eastAsia"/>
          <w:lang w:val="en-US" w:eastAsia="zh-CN"/>
        </w:rPr>
        <w:t>。</w:t>
      </w:r>
    </w:p>
    <w:p>
      <w:pPr>
        <w:numPr>
          <w:ilvl w:val="0"/>
          <w:numId w:val="43"/>
        </w:numPr>
        <w:ind w:left="905" w:leftChars="0" w:hanging="425" w:firstLineChars="0"/>
        <w:rPr>
          <w:rFonts w:hint="eastAsia" w:ascii="宋体" w:hAnsi="宋体" w:eastAsia="宋体" w:cs="宋体"/>
          <w:b/>
          <w:bCs/>
          <w:lang w:val="en-US" w:eastAsia="zh-CN"/>
        </w:rPr>
      </w:pPr>
      <w:r>
        <w:rPr>
          <w:rFonts w:hint="default" w:ascii="宋体" w:hAnsi="宋体" w:eastAsia="宋体" w:cs="宋体"/>
          <w:b/>
          <w:bCs/>
          <w:lang w:val="en-US" w:eastAsia="zh-CN"/>
        </w:rPr>
        <w:t>震动沥水机</w:t>
      </w:r>
      <w:r>
        <w:rPr>
          <w:rFonts w:hint="eastAsia" w:ascii="宋体" w:hAnsi="宋体" w:eastAsia="宋体" w:cs="宋体"/>
          <w:b/>
          <w:bCs/>
          <w:lang w:val="en-US" w:eastAsia="zh-CN"/>
        </w:rPr>
        <w:t>1台</w:t>
      </w:r>
    </w:p>
    <w:p>
      <w:pPr>
        <w:rPr>
          <w:rFonts w:hint="eastAsia"/>
          <w:lang w:val="en-US" w:eastAsia="zh-CN"/>
        </w:rPr>
      </w:pPr>
      <w:r>
        <w:rPr>
          <w:rFonts w:hint="default"/>
          <w:lang w:val="en-US" w:eastAsia="zh-CN"/>
        </w:rPr>
        <w:t>震动除水机适用于</w:t>
      </w:r>
      <w:r>
        <w:rPr>
          <w:rFonts w:hint="eastAsia"/>
          <w:lang w:val="en-US" w:eastAsia="zh-CN"/>
        </w:rPr>
        <w:t>果蔬</w:t>
      </w:r>
      <w:r>
        <w:rPr>
          <w:rFonts w:hint="default"/>
          <w:lang w:val="en-US" w:eastAsia="zh-CN"/>
        </w:rPr>
        <w:t>清洗</w:t>
      </w:r>
      <w:r>
        <w:rPr>
          <w:rFonts w:hint="eastAsia"/>
          <w:lang w:val="en-US" w:eastAsia="zh-CN"/>
        </w:rPr>
        <w:t>预煮</w:t>
      </w:r>
      <w:r>
        <w:rPr>
          <w:rFonts w:hint="default"/>
          <w:lang w:val="en-US" w:eastAsia="zh-CN"/>
        </w:rPr>
        <w:t>后的震动除水作用，</w:t>
      </w:r>
      <w:r>
        <w:rPr>
          <w:rFonts w:hint="eastAsia"/>
          <w:lang w:val="en-US" w:eastAsia="zh-CN"/>
        </w:rPr>
        <w:t>果蔬</w:t>
      </w:r>
      <w:r>
        <w:rPr>
          <w:rFonts w:hint="default"/>
          <w:lang w:val="en-US" w:eastAsia="zh-CN"/>
        </w:rPr>
        <w:t>清洗</w:t>
      </w:r>
      <w:r>
        <w:rPr>
          <w:rFonts w:hint="eastAsia"/>
          <w:lang w:val="en-US" w:eastAsia="zh-CN"/>
        </w:rPr>
        <w:t>预煮</w:t>
      </w:r>
      <w:r>
        <w:rPr>
          <w:rFonts w:hint="default"/>
          <w:lang w:val="en-US" w:eastAsia="zh-CN"/>
        </w:rPr>
        <w:t>后直接进入震动筛，经过偏心装置震动前进，震动前进过程中能震动掉</w:t>
      </w:r>
      <w:r>
        <w:rPr>
          <w:rFonts w:hint="eastAsia"/>
          <w:lang w:val="en-US" w:eastAsia="zh-CN"/>
        </w:rPr>
        <w:t>果蔬</w:t>
      </w:r>
      <w:r>
        <w:rPr>
          <w:rFonts w:hint="default"/>
          <w:lang w:val="en-US" w:eastAsia="zh-CN"/>
        </w:rPr>
        <w:t>表面大部分水珠，然后进入风干线或者直接装箱，大大缩短物料的干燥时间，提高产品的工作效率。</w:t>
      </w:r>
    </w:p>
    <w:p>
      <w:pPr>
        <w:numPr>
          <w:ilvl w:val="0"/>
          <w:numId w:val="43"/>
        </w:numPr>
        <w:ind w:left="905" w:leftChars="0" w:hanging="425" w:firstLineChars="0"/>
        <w:rPr>
          <w:rFonts w:hint="eastAsia" w:ascii="宋体" w:hAnsi="宋体" w:eastAsia="宋体" w:cs="宋体"/>
          <w:b/>
          <w:bCs/>
          <w:lang w:val="en-US" w:eastAsia="zh-CN"/>
        </w:rPr>
      </w:pPr>
      <w:r>
        <w:rPr>
          <w:rFonts w:hint="default" w:ascii="宋体" w:hAnsi="宋体" w:eastAsia="宋体" w:cs="宋体"/>
          <w:b/>
          <w:bCs/>
          <w:lang w:val="en-US" w:eastAsia="zh-CN"/>
        </w:rPr>
        <w:t>果蔬风干线</w:t>
      </w:r>
      <w:r>
        <w:rPr>
          <w:rFonts w:hint="eastAsia" w:ascii="宋体" w:hAnsi="宋体" w:eastAsia="宋体" w:cs="宋体"/>
          <w:b/>
          <w:bCs/>
          <w:lang w:val="en-US" w:eastAsia="zh-CN"/>
        </w:rPr>
        <w:t>1台</w:t>
      </w:r>
    </w:p>
    <w:p>
      <w:pPr>
        <w:rPr>
          <w:rFonts w:hint="default"/>
          <w:lang w:val="en-US" w:eastAsia="zh-CN"/>
        </w:rPr>
      </w:pPr>
      <w:r>
        <w:rPr>
          <w:rFonts w:hint="default"/>
          <w:lang w:val="en-US" w:eastAsia="zh-CN"/>
        </w:rPr>
        <w:t>风干</w:t>
      </w:r>
      <w:r>
        <w:rPr>
          <w:rFonts w:hint="eastAsia"/>
          <w:lang w:val="en-US" w:eastAsia="zh-CN"/>
        </w:rPr>
        <w:t>线</w:t>
      </w:r>
      <w:r>
        <w:rPr>
          <w:rFonts w:hint="default"/>
          <w:lang w:val="en-US" w:eastAsia="zh-CN"/>
        </w:rPr>
        <w:t>材质为食品专用国标304不锈钢，适用于清洗后风干灭菌后的高低温肉制品、蔬菜制品等软包装产品灭菌后的除水工作，亦适用于蔬菜清洗后表面水的去除。通过多次翻身沥水，及上部高压强冷风吹，使软包装完全达到表面水珠吹干的效果。</w:t>
      </w:r>
    </w:p>
    <w:p>
      <w:pPr>
        <w:numPr>
          <w:ilvl w:val="0"/>
          <w:numId w:val="43"/>
        </w:numPr>
        <w:ind w:left="905" w:leftChars="0" w:hanging="425" w:firstLineChars="0"/>
        <w:rPr>
          <w:rFonts w:hint="default" w:ascii="宋体" w:hAnsi="宋体" w:eastAsia="宋体" w:cs="宋体"/>
          <w:b/>
          <w:bCs/>
          <w:lang w:val="en-US" w:eastAsia="zh-CN"/>
        </w:rPr>
      </w:pPr>
      <w:r>
        <w:rPr>
          <w:rFonts w:hint="default" w:ascii="宋体" w:hAnsi="宋体" w:eastAsia="宋体" w:cs="宋体"/>
          <w:b/>
          <w:bCs/>
          <w:lang w:val="en-US" w:eastAsia="zh-CN"/>
        </w:rPr>
        <w:t>操作工作平台</w:t>
      </w:r>
      <w:r>
        <w:rPr>
          <w:rFonts w:hint="eastAsia" w:ascii="宋体" w:hAnsi="宋体" w:eastAsia="宋体" w:cs="宋体"/>
          <w:b/>
          <w:bCs/>
          <w:lang w:val="en-US" w:eastAsia="zh-CN"/>
        </w:rPr>
        <w:t>1台</w:t>
      </w:r>
    </w:p>
    <w:p>
      <w:pPr>
        <w:rPr>
          <w:rFonts w:hint="eastAsia"/>
          <w:lang w:val="en-US" w:eastAsia="zh-CN"/>
        </w:rPr>
      </w:pPr>
      <w:r>
        <w:rPr>
          <w:rFonts w:hint="default"/>
          <w:lang w:val="en-US" w:eastAsia="zh-CN"/>
        </w:rPr>
        <w:t>操作工作平台</w:t>
      </w:r>
      <w:r>
        <w:rPr>
          <w:rFonts w:hint="eastAsia"/>
          <w:lang w:val="en-US" w:eastAsia="zh-CN"/>
        </w:rPr>
        <w:t>可通过皮带将果蔬由原材料清洗车间自动输送至原材料处理车间。</w:t>
      </w:r>
    </w:p>
    <w:p>
      <w:pPr>
        <w:pStyle w:val="7"/>
        <w:bidi w:val="0"/>
        <w:rPr>
          <w:rFonts w:hint="default"/>
          <w:lang w:val="en-US" w:eastAsia="zh-CN"/>
        </w:rPr>
      </w:pPr>
      <w:r>
        <w:rPr>
          <w:rFonts w:hint="eastAsia"/>
          <w:lang w:val="en-US" w:eastAsia="zh-CN"/>
        </w:rPr>
        <w:t>加工车间</w:t>
      </w:r>
    </w:p>
    <w:p>
      <w:pPr>
        <w:numPr>
          <w:ilvl w:val="0"/>
          <w:numId w:val="0"/>
        </w:numPr>
        <w:ind w:left="480" w:leftChars="0"/>
        <w:rPr>
          <w:rFonts w:hint="eastAsia" w:ascii="宋体" w:hAnsi="宋体" w:eastAsia="宋体" w:cs="宋体"/>
          <w:b/>
          <w:bCs/>
          <w:lang w:val="en-US" w:eastAsia="zh-CN"/>
        </w:rPr>
      </w:pPr>
      <w:r>
        <w:rPr>
          <w:rFonts w:hint="default" w:ascii="宋体" w:hAnsi="宋体" w:eastAsia="宋体" w:cs="宋体"/>
          <w:b/>
          <w:bCs/>
          <w:lang w:val="en-US" w:eastAsia="zh-CN"/>
        </w:rPr>
        <w:t>6匹热泵烘干房</w:t>
      </w:r>
      <w:r>
        <w:rPr>
          <w:rFonts w:hint="eastAsia" w:ascii="宋体" w:hAnsi="宋体" w:eastAsia="宋体" w:cs="宋体"/>
          <w:b/>
          <w:bCs/>
          <w:lang w:val="en-US" w:eastAsia="zh-CN"/>
        </w:rPr>
        <w:t>1套</w:t>
      </w:r>
    </w:p>
    <w:p>
      <w:pPr>
        <w:rPr>
          <w:rFonts w:hint="default"/>
          <w:lang w:val="en-US" w:eastAsia="zh-CN"/>
        </w:rPr>
      </w:pPr>
      <w:r>
        <w:rPr>
          <w:rFonts w:hint="default"/>
          <w:lang w:val="en-US" w:eastAsia="zh-CN"/>
        </w:rPr>
        <w:t>采取开环热泵烘干机，机组具有 10-20 段运行时间、温度、湿度调节，模式有热干和通风两种模式选择，热干运行包含有快速升温，除湿、烘干、烘干+除湿，烘干+除湿+排湿运行功能，自动根据烘房内温度、湿度来选择对应运行功能模式和自动排湿、除湿 运行。通风模式可用于烘干完成后降温、回软工艺的运行。</w:t>
      </w:r>
    </w:p>
    <w:p>
      <w:pPr>
        <w:pStyle w:val="7"/>
        <w:bidi w:val="0"/>
        <w:rPr>
          <w:rFonts w:hint="default"/>
          <w:lang w:val="en-US" w:eastAsia="zh-CN"/>
        </w:rPr>
      </w:pPr>
      <w:r>
        <w:rPr>
          <w:rFonts w:hint="eastAsia"/>
          <w:lang w:val="en-US" w:eastAsia="zh-CN"/>
        </w:rPr>
        <w:t>内包装车间</w:t>
      </w:r>
    </w:p>
    <w:p>
      <w:pPr>
        <w:numPr>
          <w:ilvl w:val="0"/>
          <w:numId w:val="0"/>
        </w:numPr>
        <w:ind w:left="480" w:leftChars="0"/>
        <w:rPr>
          <w:rFonts w:hint="eastAsia" w:ascii="宋体" w:hAnsi="宋体" w:eastAsia="宋体" w:cs="宋体"/>
          <w:b/>
          <w:bCs/>
          <w:lang w:val="en-US" w:eastAsia="zh-CN"/>
        </w:rPr>
      </w:pPr>
      <w:r>
        <w:rPr>
          <w:rFonts w:hint="default" w:ascii="宋体" w:hAnsi="宋体" w:eastAsia="宋体" w:cs="宋体"/>
          <w:b/>
          <w:bCs/>
          <w:lang w:val="en-US" w:eastAsia="zh-CN"/>
        </w:rPr>
        <w:t>六面全自动真空整形包装机</w:t>
      </w:r>
      <w:r>
        <w:rPr>
          <w:rFonts w:hint="eastAsia" w:ascii="宋体" w:hAnsi="宋体" w:eastAsia="宋体" w:cs="宋体"/>
          <w:b/>
          <w:bCs/>
          <w:lang w:val="en-US" w:eastAsia="zh-CN"/>
        </w:rPr>
        <w:t>1台</w:t>
      </w:r>
    </w:p>
    <w:p>
      <w:pPr>
        <w:rPr>
          <w:rFonts w:hint="eastAsia"/>
          <w:lang w:val="en-US" w:eastAsia="zh-CN"/>
        </w:rPr>
      </w:pPr>
      <w:r>
        <w:rPr>
          <w:rFonts w:hint="eastAsia"/>
          <w:lang w:val="en-US" w:eastAsia="zh-CN"/>
        </w:rPr>
        <w:t>适用于大米、杂粮、食品等行业颗粒物的定量真空包装，配置自动套袋机械手，实现全自动真空整形包装，称重、套袋、六面整形、抽真空、热封口、卸装、成品输送全过程自动化控制。</w:t>
      </w:r>
    </w:p>
    <w:p>
      <w:pPr>
        <w:pStyle w:val="7"/>
        <w:bidi w:val="0"/>
        <w:rPr>
          <w:rFonts w:hint="default"/>
          <w:lang w:val="en-US" w:eastAsia="zh-CN"/>
        </w:rPr>
      </w:pPr>
      <w:r>
        <w:rPr>
          <w:rFonts w:hint="eastAsia"/>
          <w:lang w:val="en-US" w:eastAsia="zh-CN"/>
        </w:rPr>
        <w:t>外包装车间</w:t>
      </w:r>
    </w:p>
    <w:p>
      <w:pPr>
        <w:numPr>
          <w:ilvl w:val="0"/>
          <w:numId w:val="44"/>
        </w:numPr>
        <w:ind w:left="905" w:leftChars="0" w:hanging="425" w:firstLineChars="0"/>
        <w:rPr>
          <w:rFonts w:hint="default" w:ascii="宋体" w:hAnsi="宋体" w:eastAsia="宋体" w:cs="宋体"/>
          <w:b/>
          <w:bCs/>
          <w:lang w:val="en-US" w:eastAsia="zh-CN"/>
        </w:rPr>
      </w:pPr>
      <w:r>
        <w:rPr>
          <w:rFonts w:hint="default" w:ascii="宋体" w:hAnsi="宋体" w:eastAsia="宋体" w:cs="宋体"/>
          <w:b/>
          <w:bCs/>
          <w:lang w:val="en-US" w:eastAsia="zh-CN"/>
        </w:rPr>
        <w:t>全自动套外袋机</w:t>
      </w:r>
      <w:r>
        <w:rPr>
          <w:rFonts w:hint="eastAsia" w:ascii="宋体" w:hAnsi="宋体" w:eastAsia="宋体" w:cs="宋体"/>
          <w:b/>
          <w:bCs/>
          <w:lang w:val="en-US" w:eastAsia="zh-CN"/>
        </w:rPr>
        <w:t>1台</w:t>
      </w:r>
    </w:p>
    <w:p>
      <w:pPr>
        <w:rPr>
          <w:rFonts w:hint="default"/>
          <w:lang w:val="en-US" w:eastAsia="zh-CN"/>
        </w:rPr>
      </w:pPr>
      <w:r>
        <w:rPr>
          <w:rFonts w:hint="eastAsia"/>
          <w:lang w:val="en-US" w:eastAsia="zh-CN"/>
        </w:rPr>
        <w:t>包含套袋主机和自动上袋机，能实现大米、杂粮等行业六面真空包装成品，套上外袋的全自动二次套袋包装，具备自动上袋，自动套袋，自动封口，自动输送，自动故障报警功能。</w:t>
      </w:r>
    </w:p>
    <w:p>
      <w:pPr>
        <w:numPr>
          <w:ilvl w:val="0"/>
          <w:numId w:val="44"/>
        </w:numPr>
        <w:ind w:left="905" w:leftChars="0" w:hanging="425" w:firstLineChars="0"/>
        <w:rPr>
          <w:rFonts w:hint="default" w:ascii="宋体" w:hAnsi="宋体" w:eastAsia="宋体" w:cs="宋体"/>
          <w:b/>
          <w:bCs/>
          <w:lang w:val="en-US" w:eastAsia="zh-CN"/>
        </w:rPr>
      </w:pPr>
      <w:r>
        <w:rPr>
          <w:rFonts w:hint="default" w:ascii="宋体" w:hAnsi="宋体" w:eastAsia="宋体" w:cs="宋体"/>
          <w:b/>
          <w:bCs/>
          <w:lang w:val="en-US" w:eastAsia="zh-CN"/>
        </w:rPr>
        <w:t>编织袋全自动包装机</w:t>
      </w:r>
      <w:r>
        <w:rPr>
          <w:rFonts w:hint="eastAsia" w:ascii="宋体" w:hAnsi="宋体" w:eastAsia="宋体" w:cs="宋体"/>
          <w:b/>
          <w:bCs/>
          <w:lang w:val="en-US" w:eastAsia="zh-CN"/>
        </w:rPr>
        <w:t>1台</w:t>
      </w:r>
    </w:p>
    <w:p>
      <w:pPr>
        <w:rPr>
          <w:rFonts w:hint="eastAsia"/>
          <w:lang w:val="en-US" w:eastAsia="zh-CN"/>
        </w:rPr>
      </w:pPr>
      <w:r>
        <w:rPr>
          <w:rFonts w:hint="eastAsia"/>
          <w:lang w:val="en-US" w:eastAsia="zh-CN"/>
        </w:rPr>
        <w:t>编织袋自动套袋：自动实现编织袋输送、取袋、上袋和开袋，使包装袋自动被套到导料机构上面，等待物料的灌装。</w:t>
      </w:r>
    </w:p>
    <w:p>
      <w:pPr>
        <w:rPr>
          <w:rFonts w:hint="eastAsia"/>
          <w:lang w:val="en-US" w:eastAsia="zh-CN"/>
        </w:rPr>
      </w:pPr>
      <w:r>
        <w:rPr>
          <w:rFonts w:hint="eastAsia"/>
          <w:lang w:val="en-US" w:eastAsia="zh-CN"/>
        </w:rPr>
        <w:t>自动计量控制：电子秤主要是完成5-25公斤物料装自动称量并自动装入编织袋或塑料袋中。</w:t>
      </w:r>
    </w:p>
    <w:p>
      <w:pPr>
        <w:rPr>
          <w:rFonts w:hint="eastAsia"/>
          <w:lang w:val="en-US" w:eastAsia="zh-CN"/>
        </w:rPr>
      </w:pPr>
      <w:r>
        <w:rPr>
          <w:rFonts w:hint="eastAsia"/>
          <w:lang w:val="en-US" w:eastAsia="zh-CN"/>
        </w:rPr>
        <w:t>自动缝包输出过程，该部分实现包装袋的袋口整平处理，包装袋直立自动位移，并实现袋口的自动缝包和自动切线处理，最终送出成品包装。</w:t>
      </w:r>
    </w:p>
    <w:p>
      <w:pPr>
        <w:rPr>
          <w:rFonts w:hint="eastAsia"/>
          <w:lang w:val="en-US" w:eastAsia="zh-CN"/>
        </w:rPr>
      </w:pPr>
      <w:r>
        <w:rPr>
          <w:rFonts w:hint="eastAsia"/>
          <w:lang w:val="en-US" w:eastAsia="zh-CN"/>
        </w:rPr>
        <w:t>设备运行流程：物料→自动称量机→称量出目标重量→自动下料→至给袋包装机的袋子里→输送机自动输出→自动整理袋口→全自动封口缝包机→成品输出。</w:t>
      </w:r>
    </w:p>
    <w:p>
      <w:pPr>
        <w:pStyle w:val="7"/>
        <w:bidi w:val="0"/>
        <w:rPr>
          <w:rFonts w:hint="default"/>
          <w:lang w:val="en-US" w:eastAsia="zh-CN"/>
        </w:rPr>
      </w:pPr>
      <w:r>
        <w:rPr>
          <w:rFonts w:hint="eastAsia"/>
          <w:lang w:val="en-US" w:eastAsia="zh-CN"/>
        </w:rPr>
        <w:t>二层检验室</w:t>
      </w:r>
    </w:p>
    <w:p>
      <w:pPr>
        <w:numPr>
          <w:ilvl w:val="0"/>
          <w:numId w:val="0"/>
        </w:numPr>
        <w:ind w:left="480" w:leftChars="0"/>
        <w:rPr>
          <w:rFonts w:hint="default" w:ascii="宋体" w:hAnsi="宋体" w:eastAsia="宋体" w:cs="宋体"/>
          <w:b/>
          <w:bCs/>
          <w:lang w:val="en-US" w:eastAsia="zh-CN"/>
        </w:rPr>
      </w:pPr>
      <w:r>
        <w:rPr>
          <w:rFonts w:hint="default" w:ascii="宋体" w:hAnsi="宋体" w:eastAsia="宋体" w:cs="宋体"/>
          <w:b/>
          <w:bCs/>
          <w:lang w:val="en-US" w:eastAsia="zh-CN"/>
        </w:rPr>
        <w:t>农产品速测实验室</w:t>
      </w:r>
      <w:r>
        <w:rPr>
          <w:rFonts w:hint="eastAsia" w:ascii="宋体" w:hAnsi="宋体" w:eastAsia="宋体" w:cs="宋体"/>
          <w:b/>
          <w:bCs/>
          <w:lang w:val="en-US" w:eastAsia="zh-CN"/>
        </w:rPr>
        <w:t>1套</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电子天平2000</w:t>
      </w:r>
      <w:r>
        <w:rPr>
          <w:rFonts w:hint="eastAsia"/>
          <w:lang w:val="en-US" w:eastAsia="zh-CN"/>
        </w:rPr>
        <w:t>g</w:t>
      </w:r>
      <w:r>
        <w:rPr>
          <w:rFonts w:hint="default"/>
          <w:lang w:val="en-US" w:eastAsia="zh-CN"/>
        </w:rPr>
        <w:t>/0.1</w:t>
      </w:r>
      <w:r>
        <w:rPr>
          <w:rFonts w:hint="eastAsia"/>
          <w:lang w:val="en-US" w:eastAsia="zh-CN"/>
        </w:rPr>
        <w:t>g</w:t>
      </w:r>
      <w:r>
        <w:rPr>
          <w:rFonts w:hint="default"/>
          <w:lang w:val="en-US" w:eastAsia="zh-CN"/>
        </w:rPr>
        <w:t xml:space="preserve"> 1台</w:t>
      </w:r>
    </w:p>
    <w:p>
      <w:pPr>
        <w:keepNext w:val="0"/>
        <w:keepLines w:val="0"/>
        <w:pageBreakBefore w:val="0"/>
        <w:numPr>
          <w:ilvl w:val="0"/>
          <w:numId w:val="0"/>
        </w:numPr>
        <w:kinsoku/>
        <w:wordWrap/>
        <w:overflowPunct/>
        <w:topLinePunct w:val="0"/>
        <w:autoSpaceDE/>
        <w:autoSpaceDN/>
        <w:bidi w:val="0"/>
        <w:adjustRightInd/>
        <w:snapToGrid/>
        <w:ind w:leftChars="200"/>
        <w:textAlignment w:val="auto"/>
        <w:rPr>
          <w:rFonts w:hint="default"/>
          <w:lang w:val="en-US" w:eastAsia="zh-CN"/>
        </w:rPr>
      </w:pPr>
      <w:r>
        <w:rPr>
          <w:rFonts w:hint="default"/>
          <w:lang w:val="en-US" w:eastAsia="zh-CN"/>
        </w:rPr>
        <w:t>最大称量200</w:t>
      </w:r>
      <w:r>
        <w:rPr>
          <w:rFonts w:hint="eastAsia"/>
          <w:lang w:val="en-US" w:eastAsia="zh-CN"/>
        </w:rPr>
        <w:t>0g</w:t>
      </w:r>
      <w:r>
        <w:rPr>
          <w:rFonts w:hint="default"/>
          <w:lang w:val="en-US" w:eastAsia="zh-CN"/>
        </w:rPr>
        <w:t>，读数精度</w:t>
      </w:r>
      <w:r>
        <w:rPr>
          <w:rFonts w:hint="eastAsia"/>
          <w:lang w:val="en-US" w:eastAsia="zh-CN"/>
        </w:rPr>
        <w:t>0.1g。</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电子天平200</w:t>
      </w:r>
      <w:r>
        <w:rPr>
          <w:rFonts w:hint="eastAsia"/>
          <w:lang w:val="en-US" w:eastAsia="zh-CN"/>
        </w:rPr>
        <w:t>kg</w:t>
      </w:r>
      <w:r>
        <w:rPr>
          <w:rFonts w:hint="default"/>
          <w:lang w:val="en-US" w:eastAsia="zh-CN"/>
        </w:rPr>
        <w:t>/10</w:t>
      </w:r>
      <w:r>
        <w:rPr>
          <w:rFonts w:hint="eastAsia"/>
          <w:lang w:val="en-US" w:eastAsia="zh-CN"/>
        </w:rPr>
        <w:t xml:space="preserve">g </w:t>
      </w:r>
      <w:r>
        <w:rPr>
          <w:rFonts w:hint="default"/>
          <w:lang w:val="en-US" w:eastAsia="zh-CN"/>
        </w:rPr>
        <w:t>6台</w:t>
      </w:r>
    </w:p>
    <w:p>
      <w:pPr>
        <w:keepNext w:val="0"/>
        <w:keepLines w:val="0"/>
        <w:pageBreakBefore w:val="0"/>
        <w:numPr>
          <w:ilvl w:val="0"/>
          <w:numId w:val="0"/>
        </w:numPr>
        <w:kinsoku/>
        <w:wordWrap/>
        <w:overflowPunct/>
        <w:topLinePunct w:val="0"/>
        <w:autoSpaceDE/>
        <w:autoSpaceDN/>
        <w:bidi w:val="0"/>
        <w:adjustRightInd/>
        <w:snapToGrid/>
        <w:ind w:leftChars="200"/>
        <w:textAlignment w:val="auto"/>
        <w:rPr>
          <w:rFonts w:hint="default"/>
          <w:lang w:val="en-US" w:eastAsia="zh-CN"/>
        </w:rPr>
      </w:pPr>
      <w:r>
        <w:rPr>
          <w:rFonts w:hint="default"/>
          <w:lang w:val="en-US" w:eastAsia="zh-CN"/>
        </w:rPr>
        <w:t>最大称量200</w:t>
      </w:r>
      <w:r>
        <w:rPr>
          <w:rFonts w:hint="eastAsia"/>
          <w:lang w:val="en-US" w:eastAsia="zh-CN"/>
        </w:rPr>
        <w:t>kg</w:t>
      </w:r>
      <w:r>
        <w:rPr>
          <w:rFonts w:hint="default"/>
          <w:lang w:val="en-US" w:eastAsia="zh-CN"/>
        </w:rPr>
        <w:t>，读数精度</w:t>
      </w:r>
      <w:r>
        <w:rPr>
          <w:rFonts w:hint="eastAsia"/>
          <w:lang w:val="en-US" w:eastAsia="zh-CN"/>
        </w:rPr>
        <w:t>10g。</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电子天平1台</w:t>
      </w:r>
    </w:p>
    <w:p>
      <w:pPr>
        <w:keepNext w:val="0"/>
        <w:keepLines w:val="0"/>
        <w:pageBreakBefore w:val="0"/>
        <w:numPr>
          <w:ilvl w:val="0"/>
          <w:numId w:val="0"/>
        </w:numPr>
        <w:kinsoku/>
        <w:wordWrap/>
        <w:overflowPunct/>
        <w:topLinePunct w:val="0"/>
        <w:autoSpaceDE/>
        <w:autoSpaceDN/>
        <w:bidi w:val="0"/>
        <w:adjustRightInd/>
        <w:snapToGrid/>
        <w:ind w:leftChars="200"/>
        <w:textAlignment w:val="auto"/>
        <w:rPr>
          <w:rFonts w:hint="default"/>
          <w:lang w:val="en-US" w:eastAsia="zh-CN"/>
        </w:rPr>
      </w:pPr>
      <w:r>
        <w:rPr>
          <w:rFonts w:hint="default"/>
          <w:lang w:val="en-US" w:eastAsia="zh-CN"/>
        </w:rPr>
        <w:t>最大称量220</w:t>
      </w:r>
      <w:r>
        <w:rPr>
          <w:rFonts w:hint="eastAsia"/>
          <w:lang w:val="en-US" w:eastAsia="zh-CN"/>
        </w:rPr>
        <w:t>g</w:t>
      </w:r>
      <w:r>
        <w:rPr>
          <w:rFonts w:hint="default"/>
          <w:lang w:val="en-US" w:eastAsia="zh-CN"/>
        </w:rPr>
        <w:t>，读数精度 0.0001</w:t>
      </w:r>
      <w:r>
        <w:rPr>
          <w:rFonts w:hint="eastAsia"/>
          <w:lang w:val="en-US" w:eastAsia="zh-CN"/>
        </w:rPr>
        <w:t>g。</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干燥箱1台</w:t>
      </w:r>
    </w:p>
    <w:p>
      <w:pPr>
        <w:pStyle w:val="16"/>
        <w:keepNext w:val="0"/>
        <w:keepLines w:val="0"/>
        <w:pageBreakBefore w:val="0"/>
        <w:kinsoku/>
        <w:wordWrap/>
        <w:overflowPunct/>
        <w:topLinePunct w:val="0"/>
        <w:autoSpaceDE/>
        <w:autoSpaceDN/>
        <w:bidi w:val="0"/>
        <w:adjustRightInd/>
        <w:snapToGrid/>
        <w:spacing w:after="0"/>
        <w:ind w:firstLine="480" w:firstLineChars="200"/>
        <w:textAlignment w:val="auto"/>
        <w:rPr>
          <w:rFonts w:hint="default"/>
          <w:lang w:val="en-US" w:eastAsia="zh-CN"/>
        </w:rPr>
      </w:pPr>
      <w:r>
        <w:rPr>
          <w:rFonts w:hint="eastAsia"/>
          <w:lang w:val="en-US" w:eastAsia="zh-CN"/>
        </w:rPr>
        <w:t>通过加热快速烘干受检样品。</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振荡器1台</w:t>
      </w:r>
    </w:p>
    <w:p>
      <w:pPr>
        <w:pStyle w:val="16"/>
        <w:keepNext w:val="0"/>
        <w:keepLines w:val="0"/>
        <w:pageBreakBefore w:val="0"/>
        <w:kinsoku/>
        <w:wordWrap/>
        <w:overflowPunct/>
        <w:topLinePunct w:val="0"/>
        <w:autoSpaceDE/>
        <w:autoSpaceDN/>
        <w:bidi w:val="0"/>
        <w:adjustRightInd/>
        <w:snapToGrid/>
        <w:spacing w:after="0"/>
        <w:ind w:firstLine="480" w:firstLineChars="200"/>
        <w:textAlignment w:val="auto"/>
        <w:rPr>
          <w:rFonts w:hint="eastAsia" w:eastAsia="宋体"/>
          <w:lang w:val="en-US" w:eastAsia="zh-CN"/>
        </w:rPr>
      </w:pPr>
      <w:r>
        <w:rPr>
          <w:rFonts w:hint="eastAsia" w:ascii="宋体" w:hAnsi="宋体" w:eastAsia="宋体" w:cs="宋体"/>
          <w:sz w:val="24"/>
          <w:szCs w:val="24"/>
          <w:lang w:val="en-US" w:eastAsia="zh-CN"/>
        </w:rPr>
        <w:t>通过振荡</w:t>
      </w:r>
      <w:r>
        <w:rPr>
          <w:rFonts w:ascii="宋体" w:hAnsi="宋体" w:eastAsia="宋体" w:cs="宋体"/>
          <w:sz w:val="24"/>
          <w:szCs w:val="24"/>
        </w:rPr>
        <w:t>将试剂瓶内多种物质混合均匀并做出检测</w:t>
      </w:r>
      <w:r>
        <w:rPr>
          <w:rFonts w:hint="eastAsia" w:ascii="宋体" w:hAnsi="宋体" w:eastAsia="宋体" w:cs="宋体"/>
          <w:sz w:val="24"/>
          <w:szCs w:val="24"/>
          <w:lang w:eastAsia="zh-CN"/>
        </w:rPr>
        <w:t>。</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离心机1台</w:t>
      </w:r>
    </w:p>
    <w:p>
      <w:pPr>
        <w:pStyle w:val="16"/>
        <w:keepNext w:val="0"/>
        <w:keepLines w:val="0"/>
        <w:pageBreakBefore w:val="0"/>
        <w:kinsoku/>
        <w:wordWrap/>
        <w:overflowPunct/>
        <w:topLinePunct w:val="0"/>
        <w:autoSpaceDE/>
        <w:autoSpaceDN/>
        <w:bidi w:val="0"/>
        <w:adjustRightInd/>
        <w:snapToGrid/>
        <w:spacing w:after="0"/>
        <w:ind w:firstLine="480" w:firstLineChars="200"/>
        <w:textAlignment w:val="auto"/>
        <w:rPr>
          <w:rFonts w:hint="eastAsia" w:eastAsia="宋体"/>
          <w:lang w:val="en-US" w:eastAsia="zh-CN"/>
        </w:rPr>
      </w:pPr>
      <w:r>
        <w:rPr>
          <w:rFonts w:ascii="宋体" w:hAnsi="宋体" w:eastAsia="宋体" w:cs="宋体"/>
          <w:sz w:val="24"/>
          <w:szCs w:val="24"/>
        </w:rPr>
        <w:t>去除杂质，使待测液变清澈，方便检测</w:t>
      </w:r>
      <w:r>
        <w:rPr>
          <w:rFonts w:hint="eastAsia" w:ascii="宋体" w:hAnsi="宋体" w:eastAsia="宋体" w:cs="宋体"/>
          <w:sz w:val="24"/>
          <w:szCs w:val="24"/>
          <w:lang w:eastAsia="zh-CN"/>
        </w:rPr>
        <w:t>。</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破碎机1台</w:t>
      </w:r>
    </w:p>
    <w:p>
      <w:pPr>
        <w:pStyle w:val="16"/>
        <w:keepNext w:val="0"/>
        <w:keepLines w:val="0"/>
        <w:pageBreakBefore w:val="0"/>
        <w:kinsoku/>
        <w:wordWrap/>
        <w:overflowPunct/>
        <w:topLinePunct w:val="0"/>
        <w:autoSpaceDE/>
        <w:autoSpaceDN/>
        <w:bidi w:val="0"/>
        <w:adjustRightInd/>
        <w:snapToGrid/>
        <w:spacing w:after="0"/>
        <w:ind w:firstLine="480" w:firstLineChars="200"/>
        <w:textAlignment w:val="auto"/>
        <w:rPr>
          <w:rFonts w:hint="default"/>
          <w:lang w:val="en-US" w:eastAsia="zh-CN"/>
        </w:rPr>
      </w:pPr>
      <w:r>
        <w:rPr>
          <w:rFonts w:hint="default"/>
          <w:lang w:val="en-US" w:eastAsia="zh-CN"/>
        </w:rPr>
        <w:t>适用于实验室制取粉碎样品，能高效快速粉碎麦类、玉米、水稻、绿豆、大豆等物品</w:t>
      </w:r>
      <w:r>
        <w:rPr>
          <w:rFonts w:hint="eastAsia"/>
          <w:lang w:val="en-US" w:eastAsia="zh-CN"/>
        </w:rPr>
        <w:t>。</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移液枪1台</w:t>
      </w:r>
    </w:p>
    <w:p>
      <w:pPr>
        <w:pStyle w:val="16"/>
        <w:keepNext w:val="0"/>
        <w:keepLines w:val="0"/>
        <w:pageBreakBefore w:val="0"/>
        <w:kinsoku/>
        <w:wordWrap/>
        <w:overflowPunct/>
        <w:topLinePunct w:val="0"/>
        <w:autoSpaceDE/>
        <w:autoSpaceDN/>
        <w:bidi w:val="0"/>
        <w:adjustRightInd/>
        <w:snapToGrid/>
        <w:spacing w:after="0"/>
        <w:ind w:firstLine="480" w:firstLineChars="200"/>
        <w:textAlignment w:val="auto"/>
        <w:rPr>
          <w:rFonts w:hint="default"/>
          <w:lang w:val="en-US" w:eastAsia="zh-CN"/>
        </w:rPr>
      </w:pPr>
      <w:r>
        <w:rPr>
          <w:rFonts w:hint="default"/>
          <w:lang w:val="en-US" w:eastAsia="zh-CN"/>
        </w:rPr>
        <w:t>实验室配套仪器</w:t>
      </w:r>
      <w:r>
        <w:rPr>
          <w:rFonts w:hint="eastAsia"/>
          <w:lang w:val="en-US" w:eastAsia="zh-CN"/>
        </w:rPr>
        <w:t>，用于准确称取液体。</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农残快速检测1台</w:t>
      </w:r>
    </w:p>
    <w:p>
      <w:pPr>
        <w:pStyle w:val="16"/>
        <w:keepNext w:val="0"/>
        <w:keepLines w:val="0"/>
        <w:pageBreakBefore w:val="0"/>
        <w:kinsoku/>
        <w:wordWrap/>
        <w:overflowPunct/>
        <w:topLinePunct w:val="0"/>
        <w:autoSpaceDE/>
        <w:autoSpaceDN/>
        <w:bidi w:val="0"/>
        <w:adjustRightInd/>
        <w:snapToGrid/>
        <w:spacing w:after="0"/>
        <w:ind w:firstLine="480" w:firstLineChars="200"/>
        <w:textAlignment w:val="auto"/>
        <w:rPr>
          <w:rFonts w:hint="default"/>
          <w:lang w:val="en-US" w:eastAsia="zh-CN"/>
        </w:rPr>
      </w:pPr>
      <w:r>
        <w:rPr>
          <w:rFonts w:hint="default"/>
          <w:lang w:val="en-US" w:eastAsia="zh-CN"/>
        </w:rPr>
        <w:t>水果、蔬菜中有机磷和氨基甲酸酯类农药残留的检测</w:t>
      </w:r>
      <w:r>
        <w:rPr>
          <w:rFonts w:hint="eastAsia"/>
          <w:lang w:val="en-US" w:eastAsia="zh-CN"/>
        </w:rPr>
        <w:t>。</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重金属检测1台</w:t>
      </w:r>
    </w:p>
    <w:p>
      <w:pPr>
        <w:pStyle w:val="16"/>
        <w:keepNext w:val="0"/>
        <w:keepLines w:val="0"/>
        <w:pageBreakBefore w:val="0"/>
        <w:numPr>
          <w:ilvl w:val="0"/>
          <w:numId w:val="0"/>
        </w:numPr>
        <w:kinsoku/>
        <w:wordWrap/>
        <w:overflowPunct/>
        <w:topLinePunct w:val="0"/>
        <w:autoSpaceDE/>
        <w:autoSpaceDN/>
        <w:bidi w:val="0"/>
        <w:adjustRightInd/>
        <w:snapToGrid/>
        <w:spacing w:after="0"/>
        <w:ind w:firstLine="480" w:firstLineChars="200"/>
        <w:textAlignment w:val="auto"/>
        <w:rPr>
          <w:rFonts w:hint="default"/>
          <w:lang w:val="en-US" w:eastAsia="zh-CN"/>
        </w:rPr>
      </w:pPr>
      <w:r>
        <w:rPr>
          <w:rFonts w:hint="default"/>
          <w:lang w:val="en-US" w:eastAsia="zh-CN"/>
        </w:rPr>
        <w:t>重金属检测仪可快速检测食品中的金属铅、砷、铬、镉、汞等金属</w:t>
      </w:r>
      <w:r>
        <w:rPr>
          <w:rFonts w:hint="eastAsia"/>
          <w:lang w:val="en-US" w:eastAsia="zh-CN"/>
        </w:rPr>
        <w:t>。</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水分测定仪1台</w:t>
      </w:r>
    </w:p>
    <w:p>
      <w:pPr>
        <w:pStyle w:val="16"/>
        <w:keepNext w:val="0"/>
        <w:keepLines w:val="0"/>
        <w:pageBreakBefore w:val="0"/>
        <w:kinsoku/>
        <w:wordWrap/>
        <w:overflowPunct/>
        <w:topLinePunct w:val="0"/>
        <w:autoSpaceDE/>
        <w:autoSpaceDN/>
        <w:bidi w:val="0"/>
        <w:adjustRightInd/>
        <w:snapToGrid/>
        <w:spacing w:after="0"/>
        <w:ind w:firstLine="480" w:firstLineChars="200"/>
        <w:textAlignment w:val="auto"/>
        <w:rPr>
          <w:rFonts w:hint="default"/>
          <w:lang w:val="en-US" w:eastAsia="zh-CN"/>
        </w:rPr>
      </w:pPr>
      <w:r>
        <w:rPr>
          <w:rFonts w:hint="default"/>
          <w:lang w:val="en-US" w:eastAsia="zh-CN"/>
        </w:rPr>
        <w:t>适用于大部分液体、气体、固体物质中水分的测定</w:t>
      </w:r>
      <w:r>
        <w:rPr>
          <w:rFonts w:hint="eastAsia"/>
          <w:lang w:val="en-US" w:eastAsia="zh-CN"/>
        </w:rPr>
        <w:t>。</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配套玻璃器皿：高硼硅玻璃1批</w:t>
      </w:r>
      <w:r>
        <w:rPr>
          <w:rFonts w:hint="eastAsia"/>
          <w:lang w:val="en-US" w:eastAsia="zh-CN"/>
        </w:rPr>
        <w:t>。</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工作台：全钢边台1套</w:t>
      </w:r>
      <w:r>
        <w:rPr>
          <w:rFonts w:hint="eastAsia"/>
          <w:lang w:val="en-US" w:eastAsia="zh-CN"/>
        </w:rPr>
        <w:t>。</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试剂：农残专用1批</w:t>
      </w:r>
      <w:r>
        <w:rPr>
          <w:rFonts w:hint="eastAsia"/>
          <w:lang w:val="en-US" w:eastAsia="zh-CN"/>
        </w:rPr>
        <w:t>。</w:t>
      </w:r>
    </w:p>
    <w:p>
      <w:pPr>
        <w:keepNext w:val="0"/>
        <w:keepLines w:val="0"/>
        <w:pageBreakBefore w:val="0"/>
        <w:numPr>
          <w:ilvl w:val="0"/>
          <w:numId w:val="45"/>
        </w:numPr>
        <w:kinsoku/>
        <w:wordWrap/>
        <w:overflowPunct/>
        <w:topLinePunct w:val="0"/>
        <w:autoSpaceDE/>
        <w:autoSpaceDN/>
        <w:bidi w:val="0"/>
        <w:adjustRightInd/>
        <w:snapToGrid/>
        <w:ind w:left="905" w:leftChars="0" w:hanging="425" w:firstLineChars="0"/>
        <w:textAlignment w:val="auto"/>
        <w:rPr>
          <w:rFonts w:hint="default"/>
          <w:lang w:val="en-US" w:eastAsia="zh-CN"/>
        </w:rPr>
      </w:pPr>
      <w:r>
        <w:rPr>
          <w:rFonts w:hint="default"/>
          <w:lang w:val="en-US" w:eastAsia="zh-CN"/>
        </w:rPr>
        <w:t>配套设备：文件柜、冰箱、洗手池、样品架等</w:t>
      </w:r>
      <w:r>
        <w:rPr>
          <w:rFonts w:hint="eastAsia"/>
          <w:lang w:val="en-US" w:eastAsia="zh-CN"/>
        </w:rPr>
        <w:t>。</w:t>
      </w:r>
    </w:p>
    <w:p>
      <w:pPr>
        <w:pStyle w:val="5"/>
        <w:tabs>
          <w:tab w:val="left" w:pos="1080"/>
          <w:tab w:val="clear" w:pos="720"/>
        </w:tabs>
        <w:bidi w:val="0"/>
        <w:rPr>
          <w:rFonts w:hint="eastAsia"/>
          <w:lang w:val="en-US" w:eastAsia="zh-CN"/>
        </w:rPr>
      </w:pPr>
      <w:bookmarkStart w:id="420" w:name="_Toc7294"/>
      <w:r>
        <w:rPr>
          <w:rFonts w:hint="eastAsia"/>
          <w:lang w:val="en-US" w:eastAsia="zh-CN"/>
        </w:rPr>
        <w:t>农产品品牌策划推广及农产品品牌包装设计</w:t>
      </w:r>
      <w:bookmarkEnd w:id="420"/>
    </w:p>
    <w:p>
      <w:pPr>
        <w:pStyle w:val="6"/>
        <w:bidi w:val="0"/>
        <w:rPr>
          <w:rFonts w:hint="eastAsia"/>
          <w:lang w:val="en-US" w:eastAsia="zh-CN"/>
        </w:rPr>
      </w:pPr>
      <w:r>
        <w:rPr>
          <w:rFonts w:hint="eastAsia"/>
          <w:lang w:val="en-US" w:eastAsia="zh-CN"/>
        </w:rPr>
        <w:t>和平县农产品“耘客和礼”品牌管理体系升级优化</w:t>
      </w:r>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对和平县区域公用品牌“耘客和礼”进行市场调研分析，从市场销售数据、企业使用、消费者认可情况等对“耘客和礼”作优劣势分析，根据分析结果对品牌“耘客和礼”做品牌管理体系升级优化，使“耘客和礼”贴近市场，扩大区域公用品牌效应，提高区域特优产品销售量。</w:t>
      </w:r>
    </w:p>
    <w:p>
      <w:pPr>
        <w:numPr>
          <w:ilvl w:val="1"/>
          <w:numId w:val="0"/>
        </w:numPr>
        <w:tabs>
          <w:tab w:val="left" w:pos="780"/>
        </w:tabs>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根据“耘客和礼”品牌管理体系升级优化方案和市场流量热点变化，升级优化“耘客和礼”品牌广告语，重添品牌活力，增加市场与消费者关注度。</w:t>
      </w:r>
    </w:p>
    <w:p>
      <w:pPr>
        <w:numPr>
          <w:ilvl w:val="0"/>
          <w:numId w:val="46"/>
        </w:numPr>
        <w:ind w:left="0" w:leftChars="0" w:firstLine="454"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产出形式</w:t>
      </w:r>
    </w:p>
    <w:p>
      <w:pPr>
        <w:pStyle w:val="179"/>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《和平县区域公用品牌“耘客和礼”品牌管理体系升级优化方案》一份，以PDF/PPT形式产出。</w:t>
      </w:r>
    </w:p>
    <w:p>
      <w:pPr>
        <w:numPr>
          <w:ilvl w:val="0"/>
          <w:numId w:val="46"/>
        </w:numPr>
        <w:ind w:left="0" w:leftChars="0" w:firstLine="454"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人员安排</w:t>
      </w:r>
    </w:p>
    <w:tbl>
      <w:tblPr>
        <w:tblStyle w:val="1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9"/>
        <w:gridCol w:w="5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741"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项目职称</w:t>
            </w:r>
          </w:p>
        </w:tc>
        <w:tc>
          <w:tcPr>
            <w:tcW w:w="3258" w:type="pct"/>
            <w:tcBorders>
              <w:top w:val="single" w:color="auto" w:sz="4" w:space="0"/>
              <w:left w:val="nil"/>
              <w:bottom w:val="single" w:color="auto" w:sz="4" w:space="0"/>
              <w:right w:val="single" w:color="auto" w:sz="4" w:space="0"/>
            </w:tcBorders>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项目职能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项目总监（1名）</w:t>
            </w:r>
          </w:p>
        </w:tc>
        <w:tc>
          <w:tcPr>
            <w:tcW w:w="32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left"/>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统筹品牌</w:t>
            </w:r>
            <w:r>
              <w:rPr>
                <w:rFonts w:hint="eastAsia" w:ascii="宋体" w:hAnsi="宋体" w:eastAsia="宋体" w:cs="宋体"/>
                <w:sz w:val="24"/>
                <w:szCs w:val="24"/>
                <w:lang w:val="en-US" w:eastAsia="zh-CN"/>
              </w:rPr>
              <w:t>升级优化</w:t>
            </w:r>
            <w:r>
              <w:rPr>
                <w:rFonts w:hint="eastAsia" w:ascii="宋体" w:hAnsi="宋体" w:eastAsia="宋体" w:cs="宋体"/>
                <w:sz w:val="24"/>
                <w:szCs w:val="24"/>
                <w:lang w:val="en-US"/>
              </w:rPr>
              <w:t>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行业专家（3名）</w:t>
            </w:r>
          </w:p>
        </w:tc>
        <w:tc>
          <w:tcPr>
            <w:tcW w:w="32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left"/>
              <w:textAlignment w:val="auto"/>
              <w:rPr>
                <w:rFonts w:hint="default" w:ascii="宋体" w:hAnsi="宋体" w:eastAsia="宋体" w:cs="宋体"/>
                <w:sz w:val="24"/>
                <w:szCs w:val="24"/>
                <w:lang w:val="en-US"/>
              </w:rPr>
            </w:pPr>
            <w:r>
              <w:rPr>
                <w:rFonts w:hint="eastAsia" w:ascii="宋体" w:hAnsi="宋体" w:eastAsia="宋体" w:cs="宋体"/>
                <w:sz w:val="24"/>
                <w:szCs w:val="24"/>
                <w:lang w:val="en-US"/>
              </w:rPr>
              <w:t>负责品牌</w:t>
            </w:r>
            <w:r>
              <w:rPr>
                <w:rFonts w:hint="eastAsia" w:ascii="宋体" w:hAnsi="宋体" w:eastAsia="宋体" w:cs="宋体"/>
                <w:sz w:val="24"/>
                <w:szCs w:val="24"/>
                <w:lang w:val="en-US" w:eastAsia="zh-CN"/>
              </w:rPr>
              <w:t>优劣势分析及升级优化建议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策划干事（至少4名）</w:t>
            </w:r>
          </w:p>
        </w:tc>
        <w:tc>
          <w:tcPr>
            <w:tcW w:w="32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left"/>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负责</w:t>
            </w:r>
            <w:r>
              <w:rPr>
                <w:rFonts w:hint="eastAsia" w:ascii="宋体" w:hAnsi="宋体" w:eastAsia="宋体" w:cs="宋体"/>
                <w:sz w:val="24"/>
                <w:szCs w:val="24"/>
                <w:lang w:val="en-US" w:eastAsia="zh-CN"/>
              </w:rPr>
              <w:t>品牌升级优化及品牌广告语执行策划</w:t>
            </w:r>
            <w:r>
              <w:rPr>
                <w:rFonts w:hint="eastAsia" w:ascii="宋体" w:hAnsi="宋体" w:eastAsia="宋体" w:cs="宋体"/>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文案干事（至少4名）</w:t>
            </w:r>
          </w:p>
        </w:tc>
        <w:tc>
          <w:tcPr>
            <w:tcW w:w="3258"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left"/>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负责项目文案撰写及优化。</w:t>
            </w:r>
          </w:p>
        </w:tc>
      </w:tr>
    </w:tbl>
    <w:p>
      <w:pPr>
        <w:pStyle w:val="6"/>
        <w:bidi w:val="0"/>
        <w:rPr>
          <w:rFonts w:hint="eastAsia"/>
          <w:lang w:val="en-US" w:eastAsia="zh-CN"/>
        </w:rPr>
      </w:pPr>
      <w:r>
        <w:rPr>
          <w:rFonts w:hint="eastAsia"/>
          <w:lang w:val="en-US" w:eastAsia="zh-CN"/>
        </w:rPr>
        <w:t>和平县“耘客和礼”品牌营销推广升级优化</w:t>
      </w:r>
    </w:p>
    <w:p>
      <w:pPr>
        <w:bidi w:val="0"/>
        <w:rPr>
          <w:rFonts w:hint="eastAsia"/>
          <w:lang w:val="en-US" w:eastAsia="zh-CN"/>
        </w:rPr>
      </w:pPr>
      <w:r>
        <w:rPr>
          <w:rFonts w:hint="eastAsia"/>
          <w:lang w:val="en-US" w:eastAsia="zh-CN"/>
        </w:rPr>
        <w:t>针对和平县“耘客和礼”品牌管理体系升级优化建议，对“耘客和礼”线上线下不同平台进行营销推广升级。以崭新的面貌方式在线上线下营销宣传中体现“耘客和礼”传播的核心价值，让市场与消费者对“耘客和礼”品牌温故而知新。</w:t>
      </w:r>
    </w:p>
    <w:p>
      <w:pPr>
        <w:numPr>
          <w:ilvl w:val="0"/>
          <w:numId w:val="0"/>
        </w:numPr>
        <w:spacing w:line="360" w:lineRule="auto"/>
        <w:ind w:firstLine="482" w:firstLineChars="200"/>
        <w:outlineLvl w:val="9"/>
        <w:rPr>
          <w:rFonts w:hint="default"/>
          <w:b/>
          <w:bCs w:val="0"/>
          <w:lang w:val="en-US" w:eastAsia="zh-CN"/>
        </w:rPr>
      </w:pPr>
      <w:r>
        <w:rPr>
          <w:rFonts w:hint="eastAsia" w:ascii="宋体" w:hAnsi="宋体" w:eastAsia="宋体" w:cs="宋体"/>
          <w:b/>
          <w:bCs w:val="0"/>
          <w:sz w:val="24"/>
          <w:szCs w:val="24"/>
          <w:lang w:val="en-US" w:eastAsia="zh-CN"/>
        </w:rPr>
        <w:t>产出形式</w:t>
      </w:r>
    </w:p>
    <w:p>
      <w:pPr>
        <w:numPr>
          <w:ilvl w:val="0"/>
          <w:numId w:val="0"/>
        </w:numPr>
        <w:spacing w:line="360" w:lineRule="auto"/>
        <w:ind w:firstLine="480" w:firstLineChars="200"/>
        <w:outlineLvl w:val="9"/>
        <w:rPr>
          <w:rFonts w:hint="default"/>
          <w:lang w:val="en-US" w:eastAsia="zh-CN"/>
        </w:rPr>
      </w:pPr>
      <w:r>
        <w:rPr>
          <w:rFonts w:hint="eastAsia" w:ascii="宋体" w:hAnsi="宋体" w:eastAsia="宋体" w:cs="宋体"/>
          <w:b w:val="0"/>
          <w:bCs/>
          <w:sz w:val="24"/>
          <w:szCs w:val="24"/>
          <w:lang w:val="en-US" w:eastAsia="zh-CN"/>
        </w:rPr>
        <w:t>品牌线上线下营销资料包设计初稿PDF/PPT形式产出</w:t>
      </w:r>
    </w:p>
    <w:tbl>
      <w:tblPr>
        <w:tblStyle w:val="18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4"/>
        <w:gridCol w:w="6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345" w:type="pct"/>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outlineLvl w:val="9"/>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内容分类</w:t>
            </w:r>
          </w:p>
        </w:tc>
        <w:tc>
          <w:tcPr>
            <w:tcW w:w="3654" w:type="pct"/>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outlineLvl w:val="9"/>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内容列表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trPr>
        <w:tc>
          <w:tcPr>
            <w:tcW w:w="1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rPr>
              <w:t>品牌</w:t>
            </w:r>
            <w:r>
              <w:rPr>
                <w:rFonts w:hint="eastAsia" w:ascii="宋体" w:hAnsi="宋体" w:eastAsia="宋体" w:cs="宋体"/>
                <w:color w:val="000000"/>
                <w:sz w:val="24"/>
                <w:szCs w:val="24"/>
                <w:lang w:val="en-US" w:eastAsia="zh-CN"/>
              </w:rPr>
              <w:t>营销资料包</w:t>
            </w:r>
          </w:p>
        </w:tc>
        <w:tc>
          <w:tcPr>
            <w:tcW w:w="3654" w:type="pct"/>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线上门户网站广告版面推广版面</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线上导航条品牌推广版面</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线下公交车车身广告</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线下高速路牌推广版面</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线下推广海报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线下品牌手提袋</w:t>
            </w:r>
          </w:p>
        </w:tc>
      </w:tr>
    </w:tbl>
    <w:p>
      <w:pPr>
        <w:outlineLvl w:val="9"/>
        <w:rPr>
          <w:rFonts w:hint="eastAsia"/>
          <w:lang w:val="en-US" w:eastAsia="zh-CN"/>
        </w:rPr>
      </w:pPr>
    </w:p>
    <w:p>
      <w:pPr>
        <w:pStyle w:val="6"/>
        <w:bidi w:val="0"/>
        <w:rPr>
          <w:rFonts w:hint="eastAsia"/>
          <w:lang w:val="en-US" w:eastAsia="zh-CN"/>
        </w:rPr>
      </w:pPr>
      <w:r>
        <w:rPr>
          <w:rFonts w:hint="eastAsia"/>
          <w:lang w:val="en-US" w:eastAsia="zh-CN"/>
        </w:rPr>
        <w:t>品牌VI应用标准体系及品牌包装设计升级</w:t>
      </w:r>
    </w:p>
    <w:p>
      <w:pPr>
        <w:numPr>
          <w:ilvl w:val="0"/>
          <w:numId w:val="0"/>
        </w:numPr>
        <w:tabs>
          <w:tab w:val="left" w:pos="780"/>
        </w:tabs>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根据和平县区域公用品牌“耘客和礼”品牌管理系统升级优化，结合品牌LOGO、品牌专用字等进行VI系统设计、VI系统应用及延展应用。视觉形象设计服务为和平县区域公用品牌“耘客和礼”系统化设计概念，再次激活和平县区域公用品牌活力。</w:t>
      </w:r>
    </w:p>
    <w:p>
      <w:pPr>
        <w:numPr>
          <w:ilvl w:val="0"/>
          <w:numId w:val="0"/>
        </w:numPr>
        <w:ind w:firstLine="482" w:firstLineChars="200"/>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产出形式</w:t>
      </w:r>
    </w:p>
    <w:p>
      <w:pPr>
        <w:numPr>
          <w:ilvl w:val="0"/>
          <w:numId w:val="47"/>
        </w:numPr>
        <w:tabs>
          <w:tab w:val="left" w:pos="780"/>
        </w:tabs>
        <w:ind w:left="0" w:leftChars="0" w:firstLine="454" w:firstLineChars="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和平县区域公用品牌“耘客和礼”视觉识别系统（VI）基础设计及应用设计（共12项）：</w:t>
      </w:r>
    </w:p>
    <w:p>
      <w:pPr>
        <w:numPr>
          <w:ilvl w:val="0"/>
          <w:numId w:val="47"/>
        </w:numPr>
        <w:ind w:left="0" w:leftChars="0" w:firstLine="454" w:firstLineChars="0"/>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和平县区域公用品牌“耘客和礼”升级包装设计（共12款）；</w:t>
      </w:r>
    </w:p>
    <w:tbl>
      <w:tblPr>
        <w:tblStyle w:val="18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4"/>
        <w:gridCol w:w="6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45" w:type="pct"/>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outlineLvl w:val="9"/>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内容分类</w:t>
            </w:r>
          </w:p>
        </w:tc>
        <w:tc>
          <w:tcPr>
            <w:tcW w:w="3654" w:type="pct"/>
            <w:shd w:val="clear" w:color="auto" w:fill="E7E6E6" w:themeFill="background2"/>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outlineLvl w:val="9"/>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内容列表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应用系统</w:t>
            </w:r>
          </w:p>
        </w:tc>
        <w:tc>
          <w:tcPr>
            <w:tcW w:w="3654" w:type="pct"/>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名片</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信封</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工作记事簿</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员工胸卡</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工作证</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文件夹</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贵宾卡</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来访卡</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文档Logo应用规范</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幻灯片版式规范</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品牌纸杯标识应用规范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品牌升级包装设计</w:t>
            </w:r>
          </w:p>
        </w:tc>
        <w:tc>
          <w:tcPr>
            <w:tcW w:w="3654" w:type="pct"/>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腐竹类：黄豆、黑豆（内袋+外盒）</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干货类：香菇、木耳、笋干、白菜干、豆角干</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大米：丝苗米（5公斤装、10公斤装、礼盒装）</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通用礼盒：中高端款、高端款</w:t>
            </w:r>
          </w:p>
        </w:tc>
      </w:tr>
    </w:tbl>
    <w:p>
      <w:pPr>
        <w:pStyle w:val="6"/>
        <w:bidi w:val="0"/>
        <w:rPr>
          <w:rFonts w:hint="eastAsia"/>
          <w:lang w:val="en-US" w:eastAsia="zh-CN"/>
        </w:rPr>
      </w:pPr>
      <w:bookmarkStart w:id="421" w:name="_Toc84376184"/>
      <w:r>
        <w:rPr>
          <w:rFonts w:hint="eastAsia"/>
          <w:lang w:val="en-US" w:eastAsia="zh-CN"/>
        </w:rPr>
        <w:t>联名营销推广</w:t>
      </w:r>
      <w:bookmarkEnd w:id="421"/>
    </w:p>
    <w:p>
      <w:pPr>
        <w:pStyle w:val="179"/>
        <w:ind w:firstLine="566"/>
        <w:outlineLvl w:val="9"/>
        <w:rPr>
          <w:rFonts w:hint="eastAsia" w:ascii="宋体" w:hAnsi="宋体" w:eastAsia="宋体" w:cs="宋体"/>
          <w:sz w:val="24"/>
          <w:szCs w:val="24"/>
        </w:rPr>
      </w:pPr>
      <w:r>
        <w:rPr>
          <w:rFonts w:hint="eastAsia" w:ascii="宋体" w:hAnsi="宋体" w:eastAsia="宋体" w:cs="宋体"/>
          <w:sz w:val="24"/>
          <w:szCs w:val="24"/>
        </w:rPr>
        <w:t>为助力和平县做强“耘客和礼”这一品牌产业，提升发展机遇、加强人才引进，吸引更多的资本注入到和平，可尝试与其他行业进行品牌联动，导入消费流量，实现抱团取暖，跨界发展，1+1大于2。</w:t>
      </w:r>
    </w:p>
    <w:p>
      <w:pPr>
        <w:pStyle w:val="179"/>
        <w:ind w:firstLine="566"/>
        <w:outlineLvl w:val="9"/>
        <w:rPr>
          <w:rFonts w:hint="eastAsia" w:ascii="宋体" w:hAnsi="宋体" w:eastAsia="宋体" w:cs="宋体"/>
          <w:sz w:val="24"/>
          <w:szCs w:val="24"/>
        </w:rPr>
      </w:pPr>
      <w:r>
        <w:rPr>
          <w:rFonts w:hint="eastAsia" w:ascii="宋体" w:hAnsi="宋体" w:eastAsia="宋体" w:cs="宋体"/>
          <w:sz w:val="24"/>
          <w:szCs w:val="24"/>
        </w:rPr>
        <w:t>品牌跨界联动，是近年来品牌营销的“主力军”。将成熟品牌消费群引流到对方品牌，彰显新鲜感和高附加值，进而让消费者产生新鲜感和好奇心，对“耘客和礼”的好感度倍增。融合各自的品牌文化，有助于打通行业与行业之间的阻隔壁垒，让产品之间形成有机统一，有利于品牌的创新，激发新的产品创造。</w:t>
      </w:r>
    </w:p>
    <w:p>
      <w:pPr>
        <w:pStyle w:val="179"/>
        <w:ind w:firstLine="566"/>
        <w:outlineLvl w:val="9"/>
        <w:rPr>
          <w:rFonts w:hint="eastAsia" w:ascii="宋体" w:hAnsi="宋体" w:eastAsia="宋体" w:cs="宋体"/>
          <w:sz w:val="24"/>
          <w:szCs w:val="24"/>
        </w:rPr>
      </w:pPr>
      <w:r>
        <w:rPr>
          <w:rFonts w:hint="eastAsia" w:ascii="宋体" w:hAnsi="宋体" w:eastAsia="宋体" w:cs="宋体"/>
          <w:sz w:val="24"/>
          <w:szCs w:val="24"/>
        </w:rPr>
        <w:t>联动南方</w:t>
      </w:r>
      <w:r>
        <w:rPr>
          <w:rFonts w:hint="eastAsia" w:ascii="宋体" w:hAnsi="宋体" w:eastAsia="宋体" w:cs="宋体"/>
          <w:sz w:val="24"/>
          <w:szCs w:val="24"/>
          <w:lang w:val="en-US" w:eastAsia="zh-CN"/>
        </w:rPr>
        <w:t>报社</w:t>
      </w:r>
      <w:r>
        <w:rPr>
          <w:rFonts w:hint="eastAsia" w:ascii="宋体" w:hAnsi="宋体" w:eastAsia="宋体" w:cs="宋体"/>
          <w:sz w:val="24"/>
          <w:szCs w:val="24"/>
        </w:rPr>
        <w:t>旗下IP“南方菜篮子”，为“耘客和礼”打造IP联名产品，线上线下同步发售；联名款将进驻</w:t>
      </w:r>
      <w:r>
        <w:rPr>
          <w:rFonts w:hint="eastAsia" w:ascii="宋体" w:hAnsi="宋体" w:eastAsia="宋体" w:cs="宋体"/>
          <w:sz w:val="24"/>
          <w:szCs w:val="24"/>
          <w:lang w:val="en-US" w:eastAsia="zh-CN"/>
        </w:rPr>
        <w:t>淘宝</w:t>
      </w:r>
      <w:r>
        <w:rPr>
          <w:rFonts w:hint="eastAsia" w:ascii="宋体" w:hAnsi="宋体" w:eastAsia="宋体" w:cs="宋体"/>
          <w:sz w:val="24"/>
          <w:szCs w:val="24"/>
        </w:rPr>
        <w:t>、抖音、京东等大型线上平台进行销售；联名产品专属宣传报道，涵盖权威媒体及新媒体平台。</w:t>
      </w:r>
    </w:p>
    <w:p>
      <w:pPr>
        <w:pStyle w:val="179"/>
        <w:numPr>
          <w:ilvl w:val="0"/>
          <w:numId w:val="0"/>
        </w:numPr>
        <w:ind w:leftChars="0" w:firstLine="482" w:firstLineChars="200"/>
        <w:outlineLvl w:val="9"/>
        <w:rPr>
          <w:rFonts w:hint="eastAsia" w:ascii="宋体" w:hAnsi="宋体" w:eastAsia="宋体" w:cs="宋体"/>
          <w:b/>
          <w:bCs/>
          <w:sz w:val="24"/>
          <w:szCs w:val="24"/>
        </w:rPr>
      </w:pPr>
      <w:r>
        <w:rPr>
          <w:rFonts w:hint="eastAsia" w:ascii="宋体" w:hAnsi="宋体" w:eastAsia="宋体" w:cs="宋体"/>
          <w:b/>
          <w:bCs/>
          <w:sz w:val="24"/>
          <w:szCs w:val="24"/>
        </w:rPr>
        <w:t>人员安排</w:t>
      </w:r>
    </w:p>
    <w:tbl>
      <w:tblPr>
        <w:tblStyle w:val="1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445"/>
        <w:gridCol w:w="7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77" w:hRule="atLeast"/>
        </w:trPr>
        <w:tc>
          <w:tcPr>
            <w:tcW w:w="84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项目职称</w:t>
            </w:r>
          </w:p>
        </w:tc>
        <w:tc>
          <w:tcPr>
            <w:tcW w:w="4152" w:type="pct"/>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shd w:val="clear" w:color="auto" w:fill="auto"/>
              </w:rPr>
              <w:t>项目职能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94" w:hRule="atLeast"/>
        </w:trPr>
        <w:tc>
          <w:tcPr>
            <w:tcW w:w="84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品牌策划</w:t>
            </w:r>
          </w:p>
        </w:tc>
        <w:tc>
          <w:tcPr>
            <w:tcW w:w="4152" w:type="pct"/>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品牌推广策划及计划制定，跟进节日、热点，提出活动方案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36" w:hRule="atLeast"/>
        </w:trPr>
        <w:tc>
          <w:tcPr>
            <w:tcW w:w="84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产品经理</w:t>
            </w:r>
          </w:p>
        </w:tc>
        <w:tc>
          <w:tcPr>
            <w:tcW w:w="4152" w:type="pct"/>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负责店铺整体运营和对接企业渠道等相关工作。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47" w:hRule="atLeast"/>
        </w:trPr>
        <w:tc>
          <w:tcPr>
            <w:tcW w:w="84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客服</w:t>
            </w:r>
          </w:p>
        </w:tc>
        <w:tc>
          <w:tcPr>
            <w:tcW w:w="4152" w:type="pct"/>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负责跟进客户对产品的反馈及问题。</w:t>
            </w:r>
          </w:p>
        </w:tc>
      </w:tr>
    </w:tbl>
    <w:p>
      <w:pPr>
        <w:pStyle w:val="16"/>
        <w:ind w:firstLine="480" w:firstLineChars="200"/>
        <w:jc w:val="left"/>
        <w:outlineLvl w:val="9"/>
        <w:rPr>
          <w:rFonts w:hint="eastAsia" w:ascii="宋体" w:hAnsi="宋体" w:eastAsia="宋体" w:cs="宋体"/>
          <w:sz w:val="24"/>
          <w:szCs w:val="24"/>
          <w:lang w:val="en-US" w:eastAsia="zh-CN"/>
        </w:rPr>
      </w:pPr>
      <w:r>
        <w:rPr>
          <w:rFonts w:hint="eastAsia" w:cs="仿宋"/>
          <w:b w:val="0"/>
          <w:bCs w:val="0"/>
          <w:sz w:val="24"/>
          <w:szCs w:val="24"/>
          <w:lang w:val="en-US" w:eastAsia="zh-CN"/>
        </w:rPr>
        <w:t xml:space="preserve">   </w:t>
      </w:r>
    </w:p>
    <w:p>
      <w:pPr>
        <w:pStyle w:val="6"/>
        <w:bidi w:val="0"/>
        <w:rPr>
          <w:rFonts w:hint="eastAsia"/>
          <w:lang w:val="en-US" w:eastAsia="zh-CN"/>
        </w:rPr>
      </w:pPr>
      <w:bookmarkStart w:id="422" w:name="_Toc84376185"/>
      <w:r>
        <w:rPr>
          <w:rFonts w:hint="eastAsia"/>
          <w:lang w:val="en-US" w:eastAsia="zh-CN"/>
        </w:rPr>
        <w:t>“好货直供大湾区”社区展销服务</w:t>
      </w:r>
      <w:bookmarkEnd w:id="422"/>
    </w:p>
    <w:p>
      <w:pPr>
        <w:pStyle w:val="179"/>
        <w:ind w:firstLine="566"/>
        <w:outlineLvl w:val="9"/>
        <w:rPr>
          <w:rFonts w:hint="eastAsia" w:ascii="宋体" w:hAnsi="宋体" w:eastAsia="宋体" w:cs="宋体"/>
          <w:sz w:val="24"/>
          <w:szCs w:val="24"/>
        </w:rPr>
      </w:pPr>
      <w:r>
        <w:rPr>
          <w:rFonts w:hint="eastAsia" w:ascii="宋体" w:hAnsi="宋体" w:eastAsia="宋体" w:cs="宋体"/>
          <w:sz w:val="24"/>
          <w:szCs w:val="24"/>
        </w:rPr>
        <w:t>针对和平县特色农产品，并依托南方报业传媒集团的平台资源与广东菜篮子资源优势，开展</w:t>
      </w:r>
      <w:r>
        <w:rPr>
          <w:rFonts w:hint="eastAsia" w:ascii="宋体" w:hAnsi="宋体" w:eastAsia="宋体" w:cs="宋体"/>
          <w:sz w:val="24"/>
          <w:szCs w:val="24"/>
          <w:lang w:val="en-US" w:eastAsia="zh-CN"/>
        </w:rPr>
        <w:t>一年6</w:t>
      </w:r>
      <w:r>
        <w:rPr>
          <w:rFonts w:hint="eastAsia" w:ascii="宋体" w:hAnsi="宋体" w:eastAsia="宋体" w:cs="宋体"/>
          <w:sz w:val="24"/>
          <w:szCs w:val="24"/>
        </w:rPr>
        <w:t>0场“南方菜篮子·助农惠民进社区活动”，将特色农产品在广东珠三角地区成熟社区楼盘（保利、碧桂园、雅居乐等）进行推广及售卖，并运用媒体资源同步进行宣传报道。</w:t>
      </w:r>
    </w:p>
    <w:p>
      <w:pPr>
        <w:pStyle w:val="179"/>
        <w:pageBreakBefore w:val="0"/>
        <w:widowControl w:val="0"/>
        <w:kinsoku/>
        <w:wordWrap/>
        <w:overflowPunct/>
        <w:topLinePunct w:val="0"/>
        <w:autoSpaceDE/>
        <w:autoSpaceDN/>
        <w:bidi w:val="0"/>
        <w:snapToGrid/>
        <w:spacing w:line="360" w:lineRule="auto"/>
        <w:ind w:firstLine="566"/>
        <w:textAlignment w:val="auto"/>
        <w:outlineLvl w:val="9"/>
        <w:rPr>
          <w:rFonts w:hint="eastAsia" w:ascii="宋体" w:hAnsi="宋体" w:eastAsia="宋体" w:cs="宋体"/>
          <w:sz w:val="24"/>
          <w:szCs w:val="24"/>
        </w:rPr>
      </w:pPr>
      <w:r>
        <w:rPr>
          <w:rFonts w:hint="eastAsia" w:ascii="宋体" w:hAnsi="宋体" w:eastAsia="宋体" w:cs="宋体"/>
          <w:sz w:val="24"/>
          <w:szCs w:val="24"/>
        </w:rPr>
        <w:t>社区营销展销活动直接面对消费人群，目标人群集中，宣传比较直接，可信度高，更有利于口碑宣传。在城市中，星罗棋布的社区蕴藏着巨大无比的潜力。社区营销活动将助力和平县特色农产品更高效进行宣传推广和销售。</w:t>
      </w:r>
    </w:p>
    <w:p>
      <w:pPr>
        <w:pStyle w:val="182"/>
        <w:pageBreakBefore w:val="0"/>
        <w:widowControl w:val="0"/>
        <w:numPr>
          <w:ilvl w:val="0"/>
          <w:numId w:val="48"/>
        </w:numPr>
        <w:kinsoku/>
        <w:wordWrap/>
        <w:overflowPunct/>
        <w:topLinePunct w:val="0"/>
        <w:autoSpaceDE/>
        <w:autoSpaceDN/>
        <w:bidi w:val="0"/>
        <w:snapToGrid/>
        <w:spacing w:line="360" w:lineRule="auto"/>
        <w:ind w:left="454" w:leftChars="0" w:firstLine="0" w:firstLineChars="0"/>
        <w:textAlignment w:val="auto"/>
        <w:outlineLvl w:val="9"/>
        <w:rPr>
          <w:rFonts w:hint="eastAsia" w:ascii="宋体" w:hAnsi="宋体" w:eastAsia="宋体" w:cs="宋体"/>
          <w:b/>
          <w:bCs/>
          <w:sz w:val="24"/>
          <w:szCs w:val="24"/>
        </w:rPr>
      </w:pPr>
      <w:bookmarkStart w:id="423" w:name="_Toc6735"/>
      <w:bookmarkStart w:id="424" w:name="_Toc30280"/>
      <w:bookmarkStart w:id="425" w:name="_Toc23862356"/>
      <w:bookmarkStart w:id="426" w:name="_Toc49694094"/>
      <w:bookmarkStart w:id="427" w:name="_Toc23765362"/>
      <w:r>
        <w:rPr>
          <w:rFonts w:hint="eastAsia" w:ascii="宋体" w:hAnsi="宋体" w:eastAsia="宋体" w:cs="宋体"/>
          <w:b/>
          <w:bCs/>
          <w:sz w:val="24"/>
          <w:szCs w:val="24"/>
        </w:rPr>
        <w:t>产出形式</w:t>
      </w:r>
      <w:bookmarkEnd w:id="423"/>
      <w:bookmarkEnd w:id="424"/>
      <w:bookmarkEnd w:id="425"/>
      <w:bookmarkEnd w:id="426"/>
      <w:bookmarkEnd w:id="427"/>
    </w:p>
    <w:p>
      <w:pPr>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社区展销活动</w:t>
      </w:r>
      <w:r>
        <w:rPr>
          <w:rFonts w:hint="eastAsia" w:ascii="宋体" w:hAnsi="宋体" w:eastAsia="宋体" w:cs="宋体"/>
          <w:sz w:val="24"/>
          <w:szCs w:val="24"/>
          <w:lang w:val="en-US" w:eastAsia="zh-CN"/>
        </w:rPr>
        <w:t>一</w:t>
      </w:r>
      <w:r>
        <w:rPr>
          <w:rFonts w:hint="eastAsia" w:ascii="宋体" w:hAnsi="宋体" w:eastAsia="宋体" w:cs="宋体"/>
          <w:sz w:val="24"/>
          <w:szCs w:val="24"/>
        </w:rPr>
        <w:t>年开展</w:t>
      </w:r>
      <w:r>
        <w:rPr>
          <w:rFonts w:hint="eastAsia" w:ascii="宋体" w:hAnsi="宋体" w:eastAsia="宋体" w:cs="宋体"/>
          <w:sz w:val="24"/>
          <w:szCs w:val="24"/>
          <w:lang w:val="en-US" w:eastAsia="zh-CN"/>
        </w:rPr>
        <w:t>6</w:t>
      </w:r>
      <w:r>
        <w:rPr>
          <w:rFonts w:hint="eastAsia" w:ascii="宋体" w:hAnsi="宋体" w:eastAsia="宋体" w:cs="宋体"/>
          <w:sz w:val="24"/>
          <w:szCs w:val="24"/>
        </w:rPr>
        <w:t>0场，包括现场执行、活动照片、活动总结等</w:t>
      </w:r>
    </w:p>
    <w:p>
      <w:pPr>
        <w:pStyle w:val="182"/>
        <w:pageBreakBefore w:val="0"/>
        <w:widowControl w:val="0"/>
        <w:numPr>
          <w:ilvl w:val="0"/>
          <w:numId w:val="48"/>
        </w:numPr>
        <w:kinsoku/>
        <w:wordWrap/>
        <w:overflowPunct/>
        <w:topLinePunct w:val="0"/>
        <w:autoSpaceDE/>
        <w:autoSpaceDN/>
        <w:bidi w:val="0"/>
        <w:snapToGrid/>
        <w:spacing w:line="360" w:lineRule="auto"/>
        <w:ind w:left="454" w:leftChars="0" w:firstLine="0" w:firstLineChars="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展销物料</w:t>
      </w:r>
    </w:p>
    <w:p>
      <w:pPr>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3m*3m帐篷一套</w:t>
      </w:r>
    </w:p>
    <w:p>
      <w:pPr>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桌椅两套（含桌布）</w:t>
      </w:r>
    </w:p>
    <w:p>
      <w:pPr>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X展架（易拉宝）设计及制作2套</w:t>
      </w:r>
    </w:p>
    <w:p>
      <w:pPr>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工作人员服装2件</w:t>
      </w:r>
    </w:p>
    <w:p>
      <w:pPr>
        <w:pStyle w:val="182"/>
        <w:pageBreakBefore w:val="0"/>
        <w:widowControl w:val="0"/>
        <w:numPr>
          <w:ilvl w:val="0"/>
          <w:numId w:val="48"/>
        </w:numPr>
        <w:kinsoku/>
        <w:wordWrap/>
        <w:overflowPunct/>
        <w:topLinePunct w:val="0"/>
        <w:autoSpaceDE/>
        <w:autoSpaceDN/>
        <w:bidi w:val="0"/>
        <w:snapToGrid/>
        <w:spacing w:line="360" w:lineRule="auto"/>
        <w:ind w:left="454" w:leftChars="0" w:firstLine="0" w:firstLineChars="0"/>
        <w:textAlignment w:val="auto"/>
        <w:outlineLvl w:val="9"/>
        <w:rPr>
          <w:rFonts w:hint="eastAsia" w:ascii="宋体" w:hAnsi="宋体" w:eastAsia="宋体" w:cs="宋体"/>
          <w:b/>
          <w:bCs/>
          <w:sz w:val="24"/>
          <w:szCs w:val="24"/>
        </w:rPr>
      </w:pPr>
      <w:bookmarkStart w:id="428" w:name="_Toc49694095"/>
      <w:r>
        <w:rPr>
          <w:rFonts w:hint="eastAsia" w:ascii="宋体" w:hAnsi="宋体" w:eastAsia="宋体" w:cs="宋体"/>
          <w:b/>
          <w:bCs/>
          <w:sz w:val="24"/>
          <w:szCs w:val="24"/>
        </w:rPr>
        <w:t>人员安排</w:t>
      </w:r>
      <w:bookmarkEnd w:id="428"/>
    </w:p>
    <w:tbl>
      <w:tblPr>
        <w:tblStyle w:val="1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6"/>
        <w:gridCol w:w="5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b/>
                <w:bCs/>
                <w:sz w:val="24"/>
                <w:szCs w:val="24"/>
              </w:rPr>
            </w:pPr>
            <w:r>
              <w:rPr>
                <w:rFonts w:hint="eastAsia" w:ascii="宋体" w:hAnsi="宋体" w:eastAsia="宋体" w:cs="宋体"/>
                <w:b/>
                <w:bCs/>
                <w:sz w:val="24"/>
                <w:szCs w:val="24"/>
              </w:rPr>
              <w:t>项目职称</w:t>
            </w:r>
          </w:p>
        </w:tc>
        <w:tc>
          <w:tcPr>
            <w:tcW w:w="3395"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b/>
                <w:bCs/>
                <w:sz w:val="24"/>
                <w:szCs w:val="24"/>
              </w:rPr>
            </w:pPr>
            <w:r>
              <w:rPr>
                <w:rFonts w:hint="eastAsia" w:ascii="宋体" w:hAnsi="宋体" w:eastAsia="宋体" w:cs="宋体"/>
                <w:b/>
                <w:bCs/>
                <w:sz w:val="24"/>
                <w:szCs w:val="24"/>
              </w:rPr>
              <w:t>项目职能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sz w:val="24"/>
                <w:szCs w:val="24"/>
              </w:rPr>
            </w:pPr>
            <w:r>
              <w:rPr>
                <w:rFonts w:hint="eastAsia" w:ascii="宋体" w:hAnsi="宋体" w:eastAsia="宋体" w:cs="宋体"/>
                <w:sz w:val="24"/>
                <w:szCs w:val="24"/>
              </w:rPr>
              <w:t>品牌总监</w:t>
            </w:r>
          </w:p>
          <w:p>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sz w:val="24"/>
                <w:szCs w:val="24"/>
              </w:rPr>
            </w:pPr>
            <w:r>
              <w:rPr>
                <w:rFonts w:hint="eastAsia" w:ascii="宋体" w:hAnsi="宋体" w:eastAsia="宋体" w:cs="宋体"/>
                <w:sz w:val="24"/>
                <w:szCs w:val="24"/>
              </w:rPr>
              <w:t>（1名）</w:t>
            </w:r>
          </w:p>
        </w:tc>
        <w:tc>
          <w:tcPr>
            <w:tcW w:w="3395"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firstLine="14" w:firstLineChars="6"/>
              <w:jc w:val="center"/>
              <w:outlineLvl w:val="9"/>
              <w:rPr>
                <w:rFonts w:hint="eastAsia" w:ascii="宋体" w:hAnsi="宋体" w:eastAsia="宋体" w:cs="宋体"/>
                <w:sz w:val="24"/>
                <w:szCs w:val="24"/>
              </w:rPr>
            </w:pPr>
            <w:r>
              <w:rPr>
                <w:rFonts w:hint="eastAsia" w:ascii="宋体" w:hAnsi="宋体" w:eastAsia="宋体" w:cs="宋体"/>
                <w:sz w:val="24"/>
                <w:szCs w:val="24"/>
              </w:rPr>
              <w:t>统筹社区展销活动工作。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sz w:val="24"/>
                <w:szCs w:val="24"/>
              </w:rPr>
            </w:pPr>
            <w:r>
              <w:rPr>
                <w:rFonts w:hint="eastAsia" w:ascii="宋体" w:hAnsi="宋体" w:eastAsia="宋体" w:cs="宋体"/>
                <w:sz w:val="24"/>
                <w:szCs w:val="24"/>
              </w:rPr>
              <w:t>品牌副总监</w:t>
            </w:r>
          </w:p>
          <w:p>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sz w:val="24"/>
                <w:szCs w:val="24"/>
              </w:rPr>
            </w:pPr>
            <w:r>
              <w:rPr>
                <w:rFonts w:hint="eastAsia" w:ascii="宋体" w:hAnsi="宋体" w:eastAsia="宋体" w:cs="宋体"/>
                <w:sz w:val="24"/>
                <w:szCs w:val="24"/>
              </w:rPr>
              <w:t>（1名）</w:t>
            </w:r>
          </w:p>
        </w:tc>
        <w:tc>
          <w:tcPr>
            <w:tcW w:w="3395"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firstLine="14" w:firstLineChars="6"/>
              <w:jc w:val="center"/>
              <w:outlineLvl w:val="9"/>
              <w:rPr>
                <w:rFonts w:hint="eastAsia" w:ascii="宋体" w:hAnsi="宋体" w:eastAsia="宋体" w:cs="宋体"/>
                <w:sz w:val="24"/>
                <w:szCs w:val="24"/>
              </w:rPr>
            </w:pPr>
            <w:r>
              <w:rPr>
                <w:rFonts w:hint="eastAsia" w:ascii="宋体" w:hAnsi="宋体" w:eastAsia="宋体" w:cs="宋体"/>
                <w:sz w:val="24"/>
                <w:szCs w:val="24"/>
              </w:rPr>
              <w:t>负责社区展销活动策划与公关工作。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sz w:val="24"/>
                <w:szCs w:val="24"/>
                <w:lang w:eastAsia="zh-CN"/>
              </w:rPr>
            </w:pPr>
            <w:r>
              <w:rPr>
                <w:rFonts w:hint="eastAsia" w:ascii="宋体" w:hAnsi="宋体" w:eastAsia="宋体" w:cs="宋体"/>
                <w:sz w:val="24"/>
                <w:szCs w:val="24"/>
              </w:rPr>
              <w:t>物料设计师</w:t>
            </w:r>
          </w:p>
          <w:p>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sz w:val="24"/>
                <w:szCs w:val="24"/>
              </w:rPr>
            </w:pPr>
            <w:r>
              <w:rPr>
                <w:rFonts w:hint="eastAsia" w:ascii="宋体" w:hAnsi="宋体" w:eastAsia="宋体" w:cs="宋体"/>
                <w:sz w:val="24"/>
                <w:szCs w:val="24"/>
              </w:rPr>
              <w:t>（至少1名）</w:t>
            </w:r>
          </w:p>
        </w:tc>
        <w:tc>
          <w:tcPr>
            <w:tcW w:w="3395"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firstLine="14" w:firstLineChars="6"/>
              <w:jc w:val="center"/>
              <w:outlineLvl w:val="9"/>
              <w:rPr>
                <w:rFonts w:hint="eastAsia" w:ascii="宋体" w:hAnsi="宋体" w:eastAsia="宋体" w:cs="宋体"/>
                <w:sz w:val="24"/>
                <w:szCs w:val="24"/>
              </w:rPr>
            </w:pPr>
            <w:r>
              <w:rPr>
                <w:rFonts w:hint="eastAsia" w:ascii="宋体" w:hAnsi="宋体" w:eastAsia="宋体" w:cs="宋体"/>
                <w:sz w:val="24"/>
                <w:szCs w:val="24"/>
              </w:rPr>
              <w:t>负责社区展销活动物料设计。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sz w:val="24"/>
                <w:szCs w:val="24"/>
              </w:rPr>
            </w:pPr>
            <w:r>
              <w:rPr>
                <w:rFonts w:hint="eastAsia" w:ascii="宋体" w:hAnsi="宋体" w:eastAsia="宋体" w:cs="宋体"/>
                <w:sz w:val="24"/>
                <w:szCs w:val="24"/>
              </w:rPr>
              <w:t>活动执行主任</w:t>
            </w:r>
          </w:p>
          <w:p>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sz w:val="24"/>
                <w:szCs w:val="24"/>
              </w:rPr>
            </w:pPr>
            <w:r>
              <w:rPr>
                <w:rFonts w:hint="eastAsia" w:ascii="宋体" w:hAnsi="宋体" w:eastAsia="宋体" w:cs="宋体"/>
                <w:sz w:val="24"/>
                <w:szCs w:val="24"/>
              </w:rPr>
              <w:t>（至少1名）</w:t>
            </w:r>
          </w:p>
        </w:tc>
        <w:tc>
          <w:tcPr>
            <w:tcW w:w="3395"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firstLine="14" w:firstLineChars="6"/>
              <w:jc w:val="center"/>
              <w:outlineLvl w:val="9"/>
              <w:rPr>
                <w:rFonts w:hint="eastAsia" w:ascii="宋体" w:hAnsi="宋体" w:eastAsia="宋体" w:cs="宋体"/>
                <w:sz w:val="24"/>
                <w:szCs w:val="24"/>
              </w:rPr>
            </w:pPr>
            <w:r>
              <w:rPr>
                <w:rFonts w:hint="eastAsia" w:ascii="宋体" w:hAnsi="宋体" w:eastAsia="宋体" w:cs="宋体"/>
                <w:sz w:val="24"/>
                <w:szCs w:val="24"/>
              </w:rPr>
              <w:t>负责社区展销活动执行。</w:t>
            </w:r>
          </w:p>
        </w:tc>
      </w:tr>
    </w:tbl>
    <w:p>
      <w:pPr>
        <w:pStyle w:val="6"/>
        <w:bidi w:val="0"/>
        <w:rPr>
          <w:rFonts w:hint="eastAsia"/>
          <w:lang w:val="en-US" w:eastAsia="zh-CN"/>
        </w:rPr>
      </w:pPr>
      <w:bookmarkStart w:id="429" w:name="_Toc84376186"/>
      <w:r>
        <w:rPr>
          <w:rFonts w:hint="eastAsia"/>
          <w:lang w:val="en-US" w:eastAsia="zh-CN"/>
        </w:rPr>
        <w:t>社区电梯智慧屏广告投放</w:t>
      </w:r>
      <w:bookmarkEnd w:id="429"/>
    </w:p>
    <w:p>
      <w:pPr>
        <w:pStyle w:val="179"/>
        <w:pageBreakBefore w:val="0"/>
        <w:widowControl w:val="0"/>
        <w:kinsoku/>
        <w:wordWrap/>
        <w:overflowPunct/>
        <w:topLinePunct w:val="0"/>
        <w:autoSpaceDE/>
        <w:autoSpaceDN/>
        <w:bidi w:val="0"/>
        <w:snapToGrid/>
        <w:ind w:firstLine="566"/>
        <w:textAlignment w:val="auto"/>
        <w:outlineLvl w:val="9"/>
        <w:rPr>
          <w:rFonts w:hint="eastAsia" w:ascii="宋体" w:hAnsi="宋体" w:eastAsia="宋体" w:cs="宋体"/>
          <w:sz w:val="24"/>
          <w:szCs w:val="24"/>
        </w:rPr>
      </w:pPr>
      <w:r>
        <w:rPr>
          <w:rFonts w:hint="eastAsia" w:ascii="宋体" w:hAnsi="宋体" w:eastAsia="宋体" w:cs="宋体"/>
          <w:sz w:val="24"/>
          <w:szCs w:val="24"/>
        </w:rPr>
        <w:t>如今，中国已经进入家庭消费时代，互联网巨头对流量广告的抢夺已从线上延展到线下，电梯媒体的形式更受消费者青睐，尤其是视频广告，每次可轮换播放，更能吸引消费者视线，使消费者保持新鲜感和短时间内接收多样产品信息，电梯智慧屏投放将成为线下流量新媒体。以社区电梯作为中产社区的流量入口，能为和平县区域公用品牌及旗下农特产品提供更精准、更有效的社区媒体流量。</w:t>
      </w:r>
    </w:p>
    <w:p>
      <w:pPr>
        <w:pStyle w:val="179"/>
        <w:pageBreakBefore w:val="0"/>
        <w:widowControl w:val="0"/>
        <w:kinsoku/>
        <w:wordWrap/>
        <w:overflowPunct/>
        <w:topLinePunct w:val="0"/>
        <w:autoSpaceDE/>
        <w:autoSpaceDN/>
        <w:bidi w:val="0"/>
        <w:snapToGrid/>
        <w:spacing w:line="360" w:lineRule="auto"/>
        <w:ind w:firstLine="566"/>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配合“好货直供大湾区”社区展销活动，在任意开展社区活动的楼盘电梯内进行和平县区域公用品牌及产品的宣传广告投放，更能吸引消费者流量，并将流量引至展销活动现场，让更多的消费者亲身品尝和平县优质农产品，及时掌握消费者反馈情况，从而带动产品销售。</w:t>
      </w:r>
      <w:r>
        <w:rPr>
          <w:rFonts w:hint="eastAsia" w:ascii="宋体" w:hAnsi="宋体" w:eastAsia="宋体" w:cs="宋体"/>
          <w:sz w:val="24"/>
          <w:szCs w:val="24"/>
        </w:rPr>
        <w:br w:type="textWrapping"/>
      </w:r>
      <w:r>
        <w:rPr>
          <w:rFonts w:hint="eastAsia" w:ascii="宋体" w:hAnsi="宋体" w:cs="宋体"/>
          <w:sz w:val="24"/>
          <w:szCs w:val="24"/>
          <w:lang w:val="en-US" w:eastAsia="zh-CN"/>
        </w:rPr>
        <w:t xml:space="preserve">    </w:t>
      </w:r>
      <w:r>
        <w:rPr>
          <w:rFonts w:hint="eastAsia" w:ascii="宋体" w:hAnsi="宋体" w:eastAsia="宋体" w:cs="宋体"/>
          <w:b/>
          <w:bCs/>
          <w:sz w:val="24"/>
          <w:szCs w:val="24"/>
        </w:rPr>
        <w:t>产出形式</w:t>
      </w:r>
    </w:p>
    <w:p>
      <w:pPr>
        <w:pStyle w:val="182"/>
        <w:pageBreakBefore w:val="0"/>
        <w:widowControl w:val="0"/>
        <w:numPr>
          <w:ilvl w:val="3"/>
          <w:numId w:val="0"/>
        </w:numPr>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电梯智慧屏广告每次持续15秒，每天150次，投10台机，共投放3个月</w:t>
      </w:r>
      <w:r>
        <w:rPr>
          <w:rFonts w:hint="eastAsia" w:ascii="宋体" w:hAnsi="宋体" w:eastAsia="宋体" w:cs="宋体"/>
          <w:sz w:val="24"/>
          <w:szCs w:val="24"/>
          <w:lang w:eastAsia="zh-CN"/>
        </w:rPr>
        <w:t>，</w:t>
      </w:r>
      <w:r>
        <w:rPr>
          <w:rFonts w:hint="eastAsia" w:ascii="宋体" w:hAnsi="宋体" w:eastAsia="宋体" w:cs="宋体"/>
          <w:sz w:val="24"/>
          <w:szCs w:val="24"/>
        </w:rPr>
        <w:t>包括广告画面制作</w:t>
      </w:r>
    </w:p>
    <w:p>
      <w:pPr>
        <w:pStyle w:val="6"/>
        <w:bidi w:val="0"/>
        <w:rPr>
          <w:rFonts w:hint="eastAsia"/>
          <w:lang w:val="en-US" w:eastAsia="zh-CN"/>
        </w:rPr>
      </w:pPr>
      <w:bookmarkStart w:id="430" w:name="_Toc84376189"/>
      <w:r>
        <w:rPr>
          <w:rFonts w:hint="eastAsia"/>
          <w:lang w:val="en-US" w:eastAsia="zh-CN"/>
        </w:rPr>
        <w:t>权威媒体矩阵报道</w:t>
      </w:r>
      <w:bookmarkEnd w:id="430"/>
    </w:p>
    <w:p>
      <w:pPr>
        <w:pStyle w:val="179"/>
        <w:pageBreakBefore w:val="0"/>
        <w:widowControl w:val="0"/>
        <w:kinsoku/>
        <w:wordWrap/>
        <w:overflowPunct/>
        <w:topLinePunct w:val="0"/>
        <w:autoSpaceDE/>
        <w:autoSpaceDN/>
        <w:bidi w:val="0"/>
        <w:snapToGrid/>
        <w:spacing w:line="360" w:lineRule="auto"/>
        <w:ind w:firstLine="566"/>
        <w:textAlignment w:val="auto"/>
        <w:outlineLvl w:val="9"/>
        <w:rPr>
          <w:rFonts w:hint="eastAsia" w:ascii="宋体" w:hAnsi="宋体" w:eastAsia="宋体" w:cs="宋体"/>
          <w:sz w:val="24"/>
          <w:szCs w:val="24"/>
        </w:rPr>
      </w:pPr>
      <w:r>
        <w:rPr>
          <w:rFonts w:hint="eastAsia" w:ascii="宋体" w:hAnsi="宋体" w:eastAsia="宋体" w:cs="宋体"/>
          <w:sz w:val="24"/>
          <w:szCs w:val="24"/>
        </w:rPr>
        <w:t>依托南方报业集团强大的媒体资源，在国家级媒体人民网、新华网，省级媒体南方+，以及全国性主流权威媒体搜狐网、凤凰网、腾讯网、今日头条、新浪网等，对和平县区域公用品牌及其相关动态工作进行宣传报道。</w:t>
      </w:r>
    </w:p>
    <w:p>
      <w:pPr>
        <w:pStyle w:val="179"/>
        <w:pageBreakBefore w:val="0"/>
        <w:widowControl w:val="0"/>
        <w:kinsoku/>
        <w:wordWrap/>
        <w:overflowPunct/>
        <w:topLinePunct w:val="0"/>
        <w:autoSpaceDE/>
        <w:autoSpaceDN/>
        <w:bidi w:val="0"/>
        <w:snapToGrid/>
        <w:spacing w:line="360" w:lineRule="auto"/>
        <w:ind w:firstLine="566"/>
        <w:textAlignment w:val="auto"/>
        <w:outlineLvl w:val="9"/>
        <w:rPr>
          <w:rFonts w:hint="eastAsia" w:ascii="宋体" w:hAnsi="宋体" w:eastAsia="宋体" w:cs="宋体"/>
          <w:sz w:val="24"/>
          <w:szCs w:val="24"/>
        </w:rPr>
      </w:pPr>
      <w:r>
        <w:rPr>
          <w:rFonts w:hint="eastAsia" w:ascii="宋体" w:hAnsi="宋体" w:eastAsia="宋体" w:cs="宋体"/>
          <w:sz w:val="24"/>
          <w:szCs w:val="24"/>
        </w:rPr>
        <w:t>在权威网络媒体发布新闻稿是进行品牌宣传的必要方式，因为相对于其他推广方式来说，品牌进行媒体发稿不仅有利于树立品牌形象，提高品牌和产品的知名度，而且成本低廉，受众广泛，是目前效果最好的营销方式之一。</w:t>
      </w:r>
    </w:p>
    <w:p>
      <w:pPr>
        <w:pStyle w:val="182"/>
        <w:pageBreakBefore w:val="0"/>
        <w:widowControl w:val="0"/>
        <w:numPr>
          <w:ilvl w:val="3"/>
          <w:numId w:val="0"/>
        </w:numPr>
        <w:kinsoku/>
        <w:wordWrap/>
        <w:overflowPunct/>
        <w:topLinePunct w:val="0"/>
        <w:autoSpaceDE/>
        <w:autoSpaceDN/>
        <w:bidi w:val="0"/>
        <w:snapToGrid/>
        <w:spacing w:line="360" w:lineRule="auto"/>
        <w:ind w:firstLine="482" w:firstLineChars="200"/>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产出形式</w:t>
      </w:r>
    </w:p>
    <w:p>
      <w:pPr>
        <w:pStyle w:val="179"/>
        <w:pageBreakBefore w:val="0"/>
        <w:widowControl w:val="0"/>
        <w:kinsoku/>
        <w:wordWrap/>
        <w:overflowPunct/>
        <w:topLinePunct w:val="0"/>
        <w:autoSpaceDE/>
        <w:autoSpaceDN/>
        <w:bidi w:val="0"/>
        <w:snapToGrid/>
        <w:spacing w:line="360" w:lineRule="auto"/>
        <w:ind w:firstLine="566"/>
        <w:textAlignment w:val="auto"/>
        <w:outlineLvl w:val="9"/>
        <w:rPr>
          <w:rFonts w:hint="eastAsia" w:ascii="宋体" w:hAnsi="宋体" w:eastAsia="宋体" w:cs="宋体"/>
          <w:sz w:val="24"/>
          <w:szCs w:val="24"/>
        </w:rPr>
      </w:pPr>
      <w:r>
        <w:rPr>
          <w:rFonts w:hint="eastAsia" w:ascii="宋体" w:hAnsi="宋体" w:eastAsia="宋体" w:cs="宋体"/>
          <w:sz w:val="24"/>
          <w:szCs w:val="24"/>
        </w:rPr>
        <w:t>该服务</w:t>
      </w:r>
      <w:r>
        <w:rPr>
          <w:rFonts w:hint="eastAsia" w:ascii="宋体" w:hAnsi="宋体" w:eastAsia="宋体" w:cs="宋体"/>
          <w:sz w:val="24"/>
          <w:szCs w:val="24"/>
          <w:lang w:val="en-US" w:eastAsia="zh-CN"/>
        </w:rPr>
        <w:t>周期一年</w:t>
      </w:r>
      <w:r>
        <w:rPr>
          <w:rFonts w:hint="eastAsia" w:ascii="宋体" w:hAnsi="宋体" w:eastAsia="宋体" w:cs="宋体"/>
          <w:sz w:val="24"/>
          <w:szCs w:val="24"/>
        </w:rPr>
        <w:t>。</w:t>
      </w:r>
    </w:p>
    <w:p>
      <w:pPr>
        <w:pStyle w:val="65"/>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国家级媒体人民网、新华网每年各出2篇，总计4篇；</w:t>
      </w:r>
    </w:p>
    <w:p>
      <w:pPr>
        <w:pStyle w:val="65"/>
        <w:pageBreakBefore w:val="0"/>
        <w:widowControl w:val="0"/>
        <w:numPr>
          <w:ilvl w:val="0"/>
          <w:numId w:val="0"/>
        </w:numPr>
        <w:kinsoku/>
        <w:wordWrap/>
        <w:overflowPunct/>
        <w:topLinePunct w:val="0"/>
        <w:autoSpaceDE/>
        <w:autoSpaceDN/>
        <w:bidi w:val="0"/>
        <w:snapToGrid/>
        <w:spacing w:line="360" w:lineRule="auto"/>
        <w:ind w:left="566" w:leftChars="0"/>
        <w:textAlignment w:val="auto"/>
        <w:outlineLvl w:val="9"/>
        <w:rPr>
          <w:rFonts w:hint="eastAsia" w:ascii="宋体" w:hAnsi="宋体" w:eastAsia="宋体" w:cs="宋体"/>
          <w:sz w:val="24"/>
          <w:szCs w:val="24"/>
        </w:rPr>
      </w:pPr>
      <w:r>
        <w:rPr>
          <w:rFonts w:hint="eastAsia" w:ascii="宋体" w:hAnsi="宋体" w:eastAsia="宋体" w:cs="宋体"/>
          <w:sz w:val="24"/>
          <w:szCs w:val="24"/>
        </w:rPr>
        <w:t>南方+平台报道每年总计出稿不低于15篇；</w:t>
      </w:r>
    </w:p>
    <w:p>
      <w:pPr>
        <w:pStyle w:val="65"/>
        <w:pageBreakBefore w:val="0"/>
        <w:widowControl w:val="0"/>
        <w:numPr>
          <w:ilvl w:val="0"/>
          <w:numId w:val="0"/>
        </w:numPr>
        <w:kinsoku/>
        <w:wordWrap/>
        <w:overflowPunct/>
        <w:topLinePunct w:val="0"/>
        <w:autoSpaceDE/>
        <w:autoSpaceDN/>
        <w:bidi w:val="0"/>
        <w:snapToGrid/>
        <w:spacing w:line="360" w:lineRule="auto"/>
        <w:ind w:left="566" w:leftChars="0"/>
        <w:textAlignment w:val="auto"/>
        <w:outlineLvl w:val="9"/>
        <w:rPr>
          <w:rFonts w:hint="eastAsia" w:cs="宋体"/>
          <w:color w:val="000000" w:themeColor="text1"/>
          <w:lang w:val="en-US" w:eastAsia="zh-CN"/>
          <w14:textFill>
            <w14:solidFill>
              <w14:schemeClr w14:val="tx1"/>
            </w14:solidFill>
          </w14:textFill>
        </w:rPr>
      </w:pPr>
      <w:r>
        <w:rPr>
          <w:rFonts w:hint="eastAsia" w:ascii="宋体" w:hAnsi="宋体" w:eastAsia="宋体" w:cs="宋体"/>
          <w:sz w:val="24"/>
          <w:szCs w:val="24"/>
        </w:rPr>
        <w:t>主流媒体报道总发稿量每年不低于50篇。</w:t>
      </w:r>
    </w:p>
    <w:p>
      <w:pPr>
        <w:pStyle w:val="5"/>
        <w:tabs>
          <w:tab w:val="left" w:pos="1080"/>
          <w:tab w:val="clear" w:pos="720"/>
        </w:tabs>
        <w:bidi w:val="0"/>
        <w:rPr>
          <w:rFonts w:hint="eastAsia"/>
          <w:lang w:val="en-US" w:eastAsia="zh-CN"/>
        </w:rPr>
      </w:pPr>
      <w:bookmarkStart w:id="431" w:name="_Toc20737"/>
      <w:r>
        <w:rPr>
          <w:rFonts w:hint="eastAsia"/>
          <w:lang w:val="en-US" w:eastAsia="zh-CN"/>
        </w:rPr>
        <w:t>电商直播基地打造</w:t>
      </w:r>
      <w:bookmarkEnd w:id="431"/>
    </w:p>
    <w:p>
      <w:pPr>
        <w:pStyle w:val="6"/>
        <w:bidi w:val="0"/>
        <w:rPr>
          <w:rFonts w:hint="eastAsia"/>
          <w:lang w:val="en-US" w:eastAsia="zh-CN"/>
        </w:rPr>
      </w:pPr>
      <w:r>
        <w:rPr>
          <w:rFonts w:hint="eastAsia"/>
          <w:lang w:val="en-US" w:eastAsia="zh-CN"/>
        </w:rPr>
        <w:t>建设背景</w:t>
      </w:r>
    </w:p>
    <w:p>
      <w:pPr>
        <w:pageBreakBefore w:val="0"/>
        <w:kinsoku/>
        <w:wordWrap/>
        <w:overflowPunct/>
        <w:topLinePunct w:val="0"/>
        <w:bidi w:val="0"/>
        <w:spacing w:line="360" w:lineRule="auto"/>
        <w:ind w:firstLine="480" w:firstLineChars="200"/>
        <w:jc w:val="left"/>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电商直播形式是时下最受欢迎的销售形式，在和平县国家电子商务公共服务中心打造直播基地，为想尝试直播但缺乏经验和成本的新生代内容创造者提供专业的平台；打造共享直播间，解决传统直播前期投入过大的行业痛点；配备专业直播设备，搭建场景化直播间，满足不同商品的场景化展示，赋能直播带货变现新空间。</w:t>
      </w:r>
    </w:p>
    <w:p>
      <w:pPr>
        <w:pageBreakBefore w:val="0"/>
        <w:kinsoku/>
        <w:wordWrap/>
        <w:overflowPunct/>
        <w:topLinePunct w:val="0"/>
        <w:bidi w:val="0"/>
        <w:spacing w:line="360" w:lineRule="auto"/>
        <w:ind w:firstLine="480" w:firstLineChars="200"/>
        <w:jc w:val="left"/>
        <w:rPr>
          <w:rFonts w:hint="default"/>
          <w:lang w:val="en-US" w:eastAsia="zh-CN"/>
        </w:rPr>
      </w:pPr>
      <w:r>
        <w:rPr>
          <w:rFonts w:hint="eastAsia" w:ascii="Times New Roman" w:hAnsi="Times New Roman" w:eastAsia="宋体" w:cs="宋体"/>
          <w:bCs/>
          <w:color w:val="000000"/>
          <w:kern w:val="0"/>
          <w:sz w:val="24"/>
          <w:szCs w:val="28"/>
          <w:lang w:val="en-US" w:eastAsia="zh-CN" w:bidi="ar"/>
        </w:rPr>
        <w:t>通过打造直播基地，充分发挥中心运营的策划力和执行力，整合资源，为全县电商企业提供直播场所及服务，提升和平县电商直播氛围，打造和平县一站式直播运营模式。</w:t>
      </w:r>
    </w:p>
    <w:p>
      <w:pPr>
        <w:pStyle w:val="6"/>
        <w:bidi w:val="0"/>
        <w:rPr>
          <w:rFonts w:hint="eastAsia"/>
          <w:lang w:val="en-US" w:eastAsia="zh-CN"/>
        </w:rPr>
      </w:pPr>
      <w:r>
        <w:rPr>
          <w:rFonts w:hint="eastAsia"/>
          <w:lang w:val="en-US" w:eastAsia="zh-CN"/>
        </w:rPr>
        <w:t>建设内容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1）结合和平县国家级电子商务公共服务中心资源，建设和平县电商直播基地，打造和平县一站式直播运营模式。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2）和平县直播基地根据功能可划分为主播直播间、录播区、产品拍摄区、综合区等。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lang w:val="en-US" w:eastAsia="zh-CN"/>
        </w:rPr>
      </w:pPr>
      <w:r>
        <w:rPr>
          <w:rFonts w:hint="eastAsia" w:ascii="Times New Roman" w:hAnsi="Times New Roman" w:eastAsia="宋体" w:cs="宋体"/>
          <w:bCs/>
          <w:color w:val="000000"/>
          <w:kern w:val="0"/>
          <w:sz w:val="24"/>
          <w:szCs w:val="28"/>
          <w:lang w:val="en-US" w:eastAsia="zh-CN" w:bidi="ar"/>
        </w:rPr>
        <w:t>3）直播基地配备相关的运营服务、培训人员及培训课程。</w:t>
      </w:r>
    </w:p>
    <w:p>
      <w:pPr>
        <w:pStyle w:val="6"/>
        <w:bidi w:val="0"/>
        <w:rPr>
          <w:rFonts w:hint="eastAsia"/>
          <w:lang w:val="en-US" w:eastAsia="zh-CN"/>
        </w:rPr>
      </w:pPr>
      <w:r>
        <w:rPr>
          <w:rFonts w:hint="eastAsia"/>
          <w:lang w:val="en-US" w:eastAsia="zh-CN"/>
        </w:rPr>
        <w:t>建设目标</w:t>
      </w:r>
    </w:p>
    <w:p>
      <w:pPr>
        <w:pageBreakBefore w:val="0"/>
        <w:kinsoku/>
        <w:wordWrap/>
        <w:overflowPunct/>
        <w:topLinePunct w:val="0"/>
        <w:bidi w:val="0"/>
        <w:spacing w:line="360" w:lineRule="auto"/>
        <w:ind w:firstLine="480" w:firstLineChars="200"/>
        <w:jc w:val="left"/>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1）打造和平县短视频带货达人</w:t>
      </w:r>
    </w:p>
    <w:p>
      <w:pPr>
        <w:pageBreakBefore w:val="0"/>
        <w:kinsoku/>
        <w:wordWrap/>
        <w:overflowPunct/>
        <w:topLinePunct w:val="0"/>
        <w:bidi w:val="0"/>
        <w:spacing w:line="360" w:lineRule="auto"/>
        <w:ind w:firstLine="480" w:firstLineChars="200"/>
        <w:jc w:val="left"/>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①优质短视频轻松制作</w:t>
      </w:r>
    </w:p>
    <w:p>
      <w:pPr>
        <w:pageBreakBefore w:val="0"/>
        <w:kinsoku/>
        <w:wordWrap/>
        <w:overflowPunct/>
        <w:topLinePunct w:val="0"/>
        <w:bidi w:val="0"/>
        <w:spacing w:line="360" w:lineRule="auto"/>
        <w:ind w:firstLine="480" w:firstLineChars="200"/>
        <w:jc w:val="left"/>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②熟练活跃各大平台（快手、抖音、哔哩哔哩、微博等）</w:t>
      </w:r>
    </w:p>
    <w:p>
      <w:pPr>
        <w:pageBreakBefore w:val="0"/>
        <w:kinsoku/>
        <w:wordWrap/>
        <w:overflowPunct/>
        <w:topLinePunct w:val="0"/>
        <w:bidi w:val="0"/>
        <w:spacing w:line="360" w:lineRule="auto"/>
        <w:ind w:firstLine="480" w:firstLineChars="200"/>
        <w:jc w:val="left"/>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③拥有上万粉丝数</w:t>
      </w:r>
    </w:p>
    <w:p>
      <w:pPr>
        <w:pageBreakBefore w:val="0"/>
        <w:kinsoku/>
        <w:wordWrap/>
        <w:overflowPunct/>
        <w:topLinePunct w:val="0"/>
        <w:bidi w:val="0"/>
        <w:spacing w:line="360" w:lineRule="auto"/>
        <w:ind w:firstLine="480" w:firstLineChars="200"/>
        <w:jc w:val="left"/>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④成为短视频带货达人</w:t>
      </w:r>
    </w:p>
    <w:p>
      <w:pPr>
        <w:pageBreakBefore w:val="0"/>
        <w:kinsoku/>
        <w:wordWrap/>
        <w:overflowPunct/>
        <w:topLinePunct w:val="0"/>
        <w:bidi w:val="0"/>
        <w:spacing w:line="360" w:lineRule="auto"/>
        <w:ind w:firstLine="480" w:firstLineChars="200"/>
        <w:jc w:val="left"/>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2）直播培训打造和平县直播带货乡村网红</w:t>
      </w:r>
    </w:p>
    <w:p>
      <w:pPr>
        <w:pageBreakBefore w:val="0"/>
        <w:kinsoku/>
        <w:wordWrap/>
        <w:overflowPunct/>
        <w:topLinePunct w:val="0"/>
        <w:bidi w:val="0"/>
        <w:spacing w:line="360" w:lineRule="auto"/>
        <w:ind w:firstLine="480" w:firstLineChars="200"/>
        <w:jc w:val="left"/>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①各大直播平台（腾讯直播、淘宝直播、抖音直播等）规则了如指掌</w:t>
      </w:r>
    </w:p>
    <w:p>
      <w:pPr>
        <w:pageBreakBefore w:val="0"/>
        <w:kinsoku/>
        <w:wordWrap/>
        <w:overflowPunct/>
        <w:topLinePunct w:val="0"/>
        <w:bidi w:val="0"/>
        <w:spacing w:line="360" w:lineRule="auto"/>
        <w:ind w:firstLine="480" w:firstLineChars="200"/>
        <w:jc w:val="left"/>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②直播操作、互动得心应手</w:t>
      </w:r>
    </w:p>
    <w:p>
      <w:pPr>
        <w:pageBreakBefore w:val="0"/>
        <w:kinsoku/>
        <w:wordWrap/>
        <w:overflowPunct/>
        <w:topLinePunct w:val="0"/>
        <w:bidi w:val="0"/>
        <w:spacing w:line="360" w:lineRule="auto"/>
        <w:ind w:firstLine="480" w:firstLineChars="200"/>
        <w:jc w:val="left"/>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③拥有上万粉丝数</w:t>
      </w:r>
    </w:p>
    <w:p>
      <w:pPr>
        <w:pageBreakBefore w:val="0"/>
        <w:kinsoku/>
        <w:wordWrap/>
        <w:overflowPunct/>
        <w:topLinePunct w:val="0"/>
        <w:bidi w:val="0"/>
        <w:spacing w:line="360" w:lineRule="auto"/>
        <w:ind w:firstLine="480" w:firstLineChars="200"/>
        <w:jc w:val="left"/>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④成为直播带货网红达人</w:t>
      </w:r>
    </w:p>
    <w:p>
      <w:pPr>
        <w:pageBreakBefore w:val="0"/>
        <w:kinsoku/>
        <w:wordWrap/>
        <w:overflowPunct/>
        <w:topLinePunct w:val="0"/>
        <w:bidi w:val="0"/>
        <w:spacing w:line="360" w:lineRule="auto"/>
        <w:ind w:firstLine="480" w:firstLineChars="200"/>
        <w:jc w:val="left"/>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3）乡村网红让和平县域乡村“红”起来</w:t>
      </w:r>
    </w:p>
    <w:p>
      <w:pPr>
        <w:pageBreakBefore w:val="0"/>
        <w:kinsoku/>
        <w:wordWrap/>
        <w:overflowPunct/>
        <w:topLinePunct w:val="0"/>
        <w:bidi w:val="0"/>
        <w:spacing w:line="360" w:lineRule="auto"/>
        <w:ind w:firstLine="480" w:firstLineChars="200"/>
        <w:jc w:val="left"/>
        <w:rPr>
          <w:rFonts w:hint="eastAsia" w:ascii="Times New Roman" w:hAnsi="Times New Roman" w:eastAsia="宋体" w:cs="宋体"/>
          <w:bCs/>
          <w:color w:val="000000"/>
          <w:kern w:val="0"/>
          <w:sz w:val="24"/>
          <w:szCs w:val="28"/>
          <w:lang w:val="en-US" w:eastAsia="zh-CN" w:bidi="ar"/>
        </w:rPr>
      </w:pPr>
      <w:r>
        <w:rPr>
          <w:rFonts w:hint="eastAsia" w:ascii="Times New Roman" w:hAnsi="Times New Roman" w:eastAsia="宋体" w:cs="宋体"/>
          <w:bCs/>
          <w:color w:val="000000"/>
          <w:kern w:val="0"/>
          <w:sz w:val="24"/>
          <w:szCs w:val="28"/>
          <w:lang w:val="en-US" w:eastAsia="zh-CN" w:bidi="ar"/>
        </w:rPr>
        <w:t>通过聚焦培养一批短视频及直播的带货网红达人，凸显乡村人朴素勤恳的匠人精神，让他们能够获得关注，展示生活，对自我身份产生认同感和自豪感，从而更好地与当地产品、文化等连接，让当地县域乡村及农村产品也火起来。</w:t>
      </w:r>
    </w:p>
    <w:p>
      <w:pPr>
        <w:pStyle w:val="6"/>
        <w:bidi w:val="0"/>
        <w:rPr>
          <w:rFonts w:hint="default"/>
          <w:lang w:val="en-US" w:eastAsia="zh-CN"/>
        </w:rPr>
      </w:pPr>
      <w:r>
        <w:rPr>
          <w:rFonts w:hint="eastAsia"/>
          <w:lang w:val="en-US" w:eastAsia="zh-CN"/>
        </w:rPr>
        <w:t>电商直播基地平面图</w:t>
      </w:r>
    </w:p>
    <w:p>
      <w:pPr>
        <w:ind w:left="0" w:leftChars="0" w:firstLine="0" w:firstLineChars="0"/>
        <w:jc w:val="center"/>
        <w:rPr>
          <w:rFonts w:hint="eastAsia" w:cs="宋体"/>
          <w:lang w:val="en-US" w:eastAsia="zh-CN"/>
        </w:rPr>
      </w:pPr>
      <w:r>
        <w:rPr>
          <w:rFonts w:hint="eastAsia" w:cs="宋体"/>
          <w:lang w:val="en-US" w:eastAsia="zh-CN"/>
        </w:rPr>
        <w:drawing>
          <wp:inline distT="0" distB="0" distL="114300" distR="114300">
            <wp:extent cx="4961255" cy="3377565"/>
            <wp:effectExtent l="0" t="0" r="10795" b="13335"/>
            <wp:docPr id="1" name="图片 1" descr="修订版—和平县国家级电子商务公共服务中心直播基地装修工程 施工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修订版—和平县国家级电子商务公共服务中心直播基地装修工程 施工图 Model (1)"/>
                    <pic:cNvPicPr>
                      <a:picLocks noChangeAspect="1"/>
                    </pic:cNvPicPr>
                  </pic:nvPicPr>
                  <pic:blipFill>
                    <a:blip r:embed="rId57"/>
                    <a:stretch>
                      <a:fillRect/>
                    </a:stretch>
                  </pic:blipFill>
                  <pic:spPr>
                    <a:xfrm>
                      <a:off x="0" y="0"/>
                      <a:ext cx="4961255" cy="3377565"/>
                    </a:xfrm>
                    <a:prstGeom prst="rect">
                      <a:avLst/>
                    </a:prstGeom>
                  </pic:spPr>
                </pic:pic>
              </a:graphicData>
            </a:graphic>
          </wp:inline>
        </w:drawing>
      </w:r>
    </w:p>
    <w:p>
      <w:pPr>
        <w:pStyle w:val="16"/>
        <w:jc w:val="center"/>
        <w:rPr>
          <w:rFonts w:hint="default" w:cs="宋体"/>
          <w:sz w:val="21"/>
          <w:szCs w:val="20"/>
          <w:lang w:val="en-US" w:eastAsia="zh-CN"/>
        </w:rPr>
      </w:pPr>
      <w:r>
        <w:rPr>
          <w:rFonts w:hint="eastAsia" w:cs="宋体"/>
          <w:sz w:val="21"/>
          <w:szCs w:val="20"/>
          <w:lang w:val="en-US" w:eastAsia="zh-CN"/>
        </w:rPr>
        <w:t>图1.1.3-1 电商直播基地原始平面图</w:t>
      </w:r>
    </w:p>
    <w:p>
      <w:pPr>
        <w:pStyle w:val="42"/>
        <w:jc w:val="center"/>
        <w:rPr>
          <w:rFonts w:hint="eastAsia" w:cs="宋体"/>
          <w:lang w:val="en-US" w:eastAsia="zh-CN"/>
        </w:rPr>
      </w:pPr>
      <w:r>
        <w:rPr>
          <w:rFonts w:hint="eastAsia" w:cs="宋体"/>
          <w:lang w:val="en-US" w:eastAsia="zh-CN"/>
        </w:rPr>
        <w:drawing>
          <wp:inline distT="0" distB="0" distL="114300" distR="114300">
            <wp:extent cx="4924425" cy="3326765"/>
            <wp:effectExtent l="0" t="0" r="9525" b="6985"/>
            <wp:docPr id="2" name="图片 2" descr="修订版—和平县国家级电子商务公共服务中心直播基地装修工程 施工图 Mo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修订版—和平县国家级电子商务公共服务中心直播基地装修工程 施工图 Model (2)"/>
                    <pic:cNvPicPr>
                      <a:picLocks noChangeAspect="1"/>
                    </pic:cNvPicPr>
                  </pic:nvPicPr>
                  <pic:blipFill>
                    <a:blip r:embed="rId58"/>
                    <a:stretch>
                      <a:fillRect/>
                    </a:stretch>
                  </pic:blipFill>
                  <pic:spPr>
                    <a:xfrm>
                      <a:off x="0" y="0"/>
                      <a:ext cx="4924425" cy="3326765"/>
                    </a:xfrm>
                    <a:prstGeom prst="rect">
                      <a:avLst/>
                    </a:prstGeom>
                  </pic:spPr>
                </pic:pic>
              </a:graphicData>
            </a:graphic>
          </wp:inline>
        </w:drawing>
      </w:r>
    </w:p>
    <w:p>
      <w:pPr>
        <w:pStyle w:val="16"/>
        <w:jc w:val="center"/>
        <w:rPr>
          <w:rFonts w:hint="default" w:cs="宋体"/>
          <w:sz w:val="21"/>
          <w:szCs w:val="20"/>
          <w:lang w:val="en-US" w:eastAsia="zh-CN"/>
        </w:rPr>
      </w:pPr>
      <w:r>
        <w:rPr>
          <w:rFonts w:hint="eastAsia" w:cs="宋体"/>
          <w:sz w:val="21"/>
          <w:szCs w:val="20"/>
          <w:lang w:val="en-US" w:eastAsia="zh-CN"/>
        </w:rPr>
        <w:t>图1.1.3-2 电商直播基地改造后平面图</w:t>
      </w:r>
    </w:p>
    <w:p>
      <w:pPr>
        <w:pStyle w:val="6"/>
        <w:bidi w:val="0"/>
        <w:rPr>
          <w:rFonts w:hint="default"/>
          <w:lang w:val="en-US" w:eastAsia="zh-CN"/>
        </w:rPr>
      </w:pPr>
      <w:r>
        <w:rPr>
          <w:rFonts w:hint="eastAsia"/>
          <w:lang w:val="en-US" w:eastAsia="zh-CN"/>
        </w:rPr>
        <w:t>电商直播基地分区</w:t>
      </w:r>
    </w:p>
    <w:p>
      <w:pPr>
        <w:rPr>
          <w:rFonts w:hint="eastAsia"/>
          <w:lang w:val="en-US" w:eastAsia="zh-CN"/>
        </w:rPr>
      </w:pPr>
      <w:r>
        <w:rPr>
          <w:rFonts w:hint="eastAsia"/>
          <w:lang w:val="en-US" w:eastAsia="zh-CN"/>
        </w:rPr>
        <w:t>本期建设电商基地位于</w:t>
      </w:r>
      <w:r>
        <w:rPr>
          <w:rFonts w:hint="default"/>
          <w:lang w:val="en-US" w:eastAsia="zh-CN"/>
        </w:rPr>
        <w:t>和平县国家级电子商务公共服务中心</w:t>
      </w:r>
      <w:r>
        <w:rPr>
          <w:rFonts w:hint="eastAsia"/>
          <w:lang w:val="en-US" w:eastAsia="zh-CN"/>
        </w:rPr>
        <w:t>3楼，面积约为500平方米。分为直播中心前台、洽谈区、直播大厅、直播间（7个）、拍摄器材库。</w:t>
      </w:r>
    </w:p>
    <w:p>
      <w:pPr>
        <w:pStyle w:val="6"/>
        <w:bidi w:val="0"/>
        <w:rPr>
          <w:rFonts w:hint="default"/>
          <w:lang w:val="en-US" w:eastAsia="zh-CN"/>
        </w:rPr>
      </w:pPr>
      <w:r>
        <w:rPr>
          <w:rFonts w:hint="eastAsia"/>
          <w:lang w:val="en-US" w:eastAsia="zh-CN"/>
        </w:rPr>
        <w:t>办公桌椅配置</w:t>
      </w:r>
    </w:p>
    <w:p>
      <w:pPr>
        <w:numPr>
          <w:ilvl w:val="0"/>
          <w:numId w:val="49"/>
        </w:numPr>
        <w:ind w:left="0" w:leftChars="0" w:firstLine="420" w:firstLineChars="0"/>
        <w:rPr>
          <w:rFonts w:hint="default"/>
          <w:lang w:val="en-US" w:eastAsia="zh-CN"/>
        </w:rPr>
      </w:pPr>
      <w:r>
        <w:rPr>
          <w:rFonts w:hint="eastAsia" w:cs="宋体"/>
          <w:lang w:val="en-US" w:eastAsia="zh-CN"/>
        </w:rPr>
        <w:t>洽谈区</w:t>
      </w:r>
    </w:p>
    <w:tbl>
      <w:tblPr>
        <w:tblStyle w:val="3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28"/>
        <w:gridCol w:w="4842"/>
        <w:gridCol w:w="1228"/>
        <w:gridCol w:w="12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材料名称</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洽谈台+洽谈椅</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洽谈台：800*800*740；洽谈椅：570*600*840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洽谈台：白色环保板材+榉木脚；洽谈椅：灰布+榉木脚</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会客+休闲沙发</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1、沙发3+2，长≧22080*1000*900，短≧1080*100*900，材质：灰色西皮+黑砂漆脚；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2、茶几≧1300*700*430，材质：白色大理石+黑砂漆脚架；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3、休闲沙发，尺寸：700*780*800，材质：橙色超纤皮+黑砂漆五金脚；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4、RR-805圆形茶几，尺寸：Φ500*500，黑劳伦黑金岩板+切割碳素钢烤黑漆架</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洽谈室茶台</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茶台1张：尺寸：2000*800*720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天然白蜡木+蓝水晶岩板+黑砂喷涂钢架（全自动智能抽水茶艺炉、送精美茶具、茶渣桶等）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配套茶椅5张：天然白蜡木+棕色绒布坐垫</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bl>
    <w:p>
      <w:pPr>
        <w:numPr>
          <w:ilvl w:val="0"/>
          <w:numId w:val="0"/>
        </w:numPr>
        <w:ind w:left="420" w:leftChars="0"/>
        <w:rPr>
          <w:rFonts w:hint="default" w:cs="宋体"/>
          <w:lang w:val="en-US" w:eastAsia="zh-CN"/>
        </w:rPr>
      </w:pPr>
    </w:p>
    <w:p>
      <w:pPr>
        <w:numPr>
          <w:ilvl w:val="0"/>
          <w:numId w:val="49"/>
        </w:numPr>
        <w:ind w:left="0" w:leftChars="0" w:firstLine="420" w:firstLineChars="0"/>
        <w:rPr>
          <w:rFonts w:hint="default" w:cs="宋体"/>
          <w:lang w:val="en-US" w:eastAsia="zh-CN"/>
        </w:rPr>
      </w:pPr>
      <w:r>
        <w:rPr>
          <w:rFonts w:hint="eastAsia" w:cs="宋体"/>
          <w:lang w:val="en-US" w:eastAsia="zh-CN"/>
        </w:rPr>
        <w:t>直播间（7个）</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4"/>
        <w:gridCol w:w="3975"/>
        <w:gridCol w:w="815"/>
        <w:gridCol w:w="815"/>
        <w:gridCol w:w="21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材料名称</w:t>
            </w:r>
          </w:p>
        </w:tc>
        <w:tc>
          <w:tcPr>
            <w:tcW w:w="2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直播桌</w:t>
            </w:r>
          </w:p>
        </w:tc>
        <w:tc>
          <w:tcPr>
            <w:tcW w:w="2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尺寸：1800*900*750/桌面卡玛木纹+钢制脚</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每个直播间配置1套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直播椅</w:t>
            </w:r>
          </w:p>
        </w:tc>
        <w:tc>
          <w:tcPr>
            <w:tcW w:w="24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尺寸：500*660*1150/面pp+海绵包布，腿铁管喷涂</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每个直播间配置1</w:t>
            </w:r>
            <w:r>
              <w:rPr>
                <w:rFonts w:hint="eastAsia" w:cs="宋体"/>
                <w:i w:val="0"/>
                <w:iCs w:val="0"/>
                <w:color w:val="000000"/>
                <w:kern w:val="0"/>
                <w:sz w:val="21"/>
                <w:szCs w:val="21"/>
                <w:u w:val="none"/>
                <w:lang w:val="en-US" w:eastAsia="zh-CN" w:bidi="ar"/>
              </w:rPr>
              <w:t>张</w:t>
            </w:r>
          </w:p>
        </w:tc>
      </w:tr>
    </w:tbl>
    <w:p>
      <w:pPr>
        <w:pStyle w:val="42"/>
        <w:rPr>
          <w:rFonts w:hint="default"/>
          <w:lang w:val="en-US" w:eastAsia="zh-CN"/>
        </w:rPr>
      </w:pPr>
    </w:p>
    <w:p>
      <w:pPr>
        <w:numPr>
          <w:ilvl w:val="0"/>
          <w:numId w:val="49"/>
        </w:numPr>
        <w:ind w:left="0" w:leftChars="0" w:firstLine="420" w:firstLineChars="0"/>
        <w:rPr>
          <w:rFonts w:hint="default" w:cs="宋体"/>
          <w:lang w:val="en-US" w:eastAsia="zh-CN"/>
        </w:rPr>
      </w:pPr>
      <w:r>
        <w:rPr>
          <w:rFonts w:hint="eastAsia" w:cs="宋体"/>
          <w:lang w:val="en-US" w:eastAsia="zh-CN"/>
        </w:rPr>
        <w:t>直播大厅</w:t>
      </w:r>
    </w:p>
    <w:tbl>
      <w:tblPr>
        <w:tblStyle w:val="3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28"/>
        <w:gridCol w:w="4842"/>
        <w:gridCol w:w="1228"/>
        <w:gridCol w:w="12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材料名称</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直播桌</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尺寸：1800*900*750/桌面卡玛木纹+钢制脚</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直播椅</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尺寸：500*660*1150/面pp+海绵包布，腿铁管喷涂</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4人位办公桌</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尺寸：2400*1200*750对坐4人位/E级环保板材/北欧黄橡木+铁灰/蓝色上档板/实木脚</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职员椅</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尺寸：630*520*1030/绿背黑座网布/黑色尼龙扶手/黑色喷涂架</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单人位办公桌</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尺寸：1800*1650*750 /E级环保板材/北欧黄橡+深铁灰+实木脚</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单人位办公椅</w:t>
            </w:r>
          </w:p>
        </w:tc>
        <w:tc>
          <w:tcPr>
            <w:tcW w:w="2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尺寸：630*520*1030/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黑西皮+电镀弓形脚架</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pPr>
        <w:pStyle w:val="42"/>
        <w:rPr>
          <w:rFonts w:hint="default"/>
          <w:lang w:val="en-US" w:eastAsia="zh-CN"/>
        </w:rPr>
      </w:pPr>
    </w:p>
    <w:p>
      <w:pPr>
        <w:pStyle w:val="6"/>
        <w:bidi w:val="0"/>
        <w:rPr>
          <w:rFonts w:hint="default"/>
          <w:lang w:val="en-US" w:eastAsia="zh-CN"/>
        </w:rPr>
      </w:pPr>
      <w:r>
        <w:rPr>
          <w:rFonts w:hint="eastAsia"/>
          <w:lang w:val="en-US" w:eastAsia="zh-CN"/>
        </w:rPr>
        <w:t>直播设备配置</w:t>
      </w:r>
    </w:p>
    <w:tbl>
      <w:tblPr>
        <w:tblStyle w:val="3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6"/>
        <w:gridCol w:w="1242"/>
        <w:gridCol w:w="4616"/>
        <w:gridCol w:w="583"/>
        <w:gridCol w:w="731"/>
        <w:gridCol w:w="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设备名称</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技术参数</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55寸3.5液晶拼接（含控制软件）</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1：55寸工业级原装液晶面板；                                                                                                         2：单元外观尺寸：1213mm*684mm；                                                                                                           3：物理拼接缝隙≤3.5mm;亮度500cd/m2；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4：对比度4500:1；显示模式16:9；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5：拼接单屏1920x1080；                                          6：1路HDMI输入+1路DVI输入+1路VGA输入；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7：1路BNC输入和1路BNC输出，1口USB升级；                                               8：M行×N列 多单元拼接，全屏显示，分屏显示，任意组合显示(配合处理器叠加 漫游 开窗)；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9：中文、英文;支持OSD菜单、画面冻结、3D梳状滤波、TNR降噪、信号缓冲等功能。使用寿命可达6万小时以上；</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拼接屏4K内置处理器</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1:4K数字图像拼接处理器，实现高清画质图像处理，图像实时显示，具有信号加强和视频同步功能，具备连接RS232通讯红外接口；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2：内置4K拼接板特点：与普通板卡相比，清晰度提高，画面同步性基本达100%。提高了图像的清晰度，达到了4K的效果，并且在高速刷新频率下，画面能始终保持完全同步；</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拼接屏壁挂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支架</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壁挂支架：显示墙选用工业钢结构支架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4k高清线</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HDMI高清线，232转接线 拼接控制线</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拼接屏高清图像处理器+多屏开窗软件</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1、1路HDMI输入，4路HDMI输出，兼容拼接屏管理软件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2、遥控锁定功能；面板手动一键切换；安装简单，即插即用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3、支持显示多个画面</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直播导播台8讯道+24路HDMI+SDI</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1、8路配置：镁铝合金外箱：上翻加固型；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2、屏幕：21寸高清屏幕；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3、专业演播室级别导播键盘；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4、工业级户外专业键盘；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5、CPU：I79700；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6、散热器：纯铜芯散热器；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7、内存：32G(双通道）；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8、存储：M.2固态硬盘1T(可根据需求加容量)；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9、显卡：GTX1050TI4G；</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专业相机电影机+镜头</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采用2420万像素的35mm全画幅CMOS传感器，可捕获6K分辨率；机内录制6K/24p(3:2宽高比)、5.9K/30p(16:9宽高比)H.265HEVC10bit4204K60P,H.26410bit4224K30P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V-Log提供超过14级动态范围，与电影机媲美；HLG（混合log伽玛）适用于各种电影电视制作，机身五轴防抖实现6.5档快门速度补偿，采用L-Mount系统，目前超过46种可互换镜头，支持电影变型镜头双原生ISO使摄机内录制最高180帧（FHD）慢动作，机身主体由镁合金全压铸防溅+防尘，机身兼容时间码IN/OUT同步，5轴防抖和双原生同时实现，创新结构的冷却风扇，配备双SD卡槽可录制6K视频（使用SD卡更适合摄像）支持2小时所有录制模式的续航拍摄，高帧率音视频同期录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4K专业便携式摄录一体机</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（配24-105mm镜头）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super 35CMOS成像器/4096*2160有效像素/14档宽容度/基准ISO3200(S-LOG3)、1/4-1/128无级可变ND、/3.5英寸显示屏/240FPS高帧率（HFR）记录</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3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专业相机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24mm微距镜头</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19组27片镜头结构/最大放大倍数2.0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20cm防水/LED常亮灯</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3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相机镜头</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100mm f/2.8L UD镜片/环形USM超声波马达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12组15片镜头结构</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3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直播LED灯具（灯笼灯）</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工作电流：3.5A，功耗：350W（最大），工作电压：AC100-240V 50/60HZ，TLCL≥96，CRI≥96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群组：A/B/C/D，CQS：≥95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色温：2700K~6500K，频道：1/2/3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控制距离：≥100M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锂电池要求：12V-16.8V≥15A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APP控制方式：蓝牙</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3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直播LED灯具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（抛物线反光罩+网格布）</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工作电流：3.5A，功耗：350W（最大），工作电压：AC100-240V 50/60HZ，TLCL≥96，CRI≥96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群组：A/B/C/D，CQS：≥95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色温：2700K~6500K，频道：1/2/3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控制距离：≥100M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锂电池要求：12V-16.8V≥15A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APP控制方式：蓝牙</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环形LED直播美颜灯</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瓦数：38W，色温：3200K-5500K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灯珠：416pcs，流明/亮度：3500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光照角度：30°，显色指数：》90</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LED摄影手持灯</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30C TRGB1208B棒灯补光棒LED摄影手持灯 117CM四灯+BHP球头管夹*4+2.8M灯架*4；最大功率：32W；电源类型：15V 4A DC；CRI：98；TLCL：95；色温：2700k-6500k；亮度调节：0-100%无极调光；控制方式：亮度调节、2.4G无线控制、WIFI控制；特效：风暴、警车、烛、闪烁、闪电、色彩循环；</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3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60寸直播大屏+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大屏滑轮支架</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尺寸：60寸，图像比例：9:16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显示分辨率：2K fullHD，操作系统：Android 8.1，CPU：6核处理器120HZ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运存：4G，存储：32G，HDMI IN 1路输入USB 3.0接口2个，网络连接支持：网线、WIFI，音频3.5mm 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可推（有滑轮）支架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32寸直播显示屏</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屏幕尺寸：27英寸，面板类型：IPS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背光技术：LED，色彩数：10.7亿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屏幕比例：16:9，色深：10BIT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接口配置：DP*1,HDMI*1,USB-C1,音频输出*1，USB*2，分辨率：3840*2160，可视角度：178°/178°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动态对比：5000万：1</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直播绿幕背景</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气动地拉绿布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尺寸：227*190cm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清洗方式：软布擦拭</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摄影防潮箱</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双核出湿/低噪科技/双重节能</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高清直播摄像头</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1、国际知名厂家生产的1/2.7英寸，CMOs图像传感器，支持HD:1080p/60，1080p/50，1080/60，10801/50，1080p/30，1080p/25，720g/60，720p/50，720p/30，720p/25 输出格式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2、云台转动范围，水平:±170°，垂直:-25°～+25°。转动速度范围，水平:1.7～100°/s，垂直1.7°～69.9°/s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3、摄像机可设置不少于200个预置位，预置位精度≤0.1°。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4、〖同时具有2D和3D降噪算法，降低图像桑声，图像信噪比≥55B。高品质变焦镜头，最大视角必须≥72.5°，光学变焦≥12倍，数字变焦≥16倍。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5、摄像机可设置不少于200个预置位，预置位精度≤0.1°。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6、DC12V输入，功耗≤12w</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3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外接电源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（大容量V口电池）</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1、电压:14.8V；2、容量：8.8Ah 130Wh；3、体积：163*47*88mm；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4、重量：906g；5、工作温度：-10℃-40℃；6、最大输出电流：5.5A；7、最大输出功率：80W；</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电能三脚架</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1、材质：高强度高精度碳纤维；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2、颜色：黑色暗纹；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3、自重：云台：0.8kg  脚架：1.8kg；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4、承重：3-15kg；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5、续航时间：10-20小时；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6、充电时间：4-8小时；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7、电池电量：20400mAh；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8、电池类型：A级电芯；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9、云台高度：11.5cm；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10、工作高度范围：0.25m-1.8cm；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11、云台类型：三维液压阻尼云台；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12、侧向倾斜：-90°/+90°；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13、全景旋转：360°；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14、最低工作温度：-26℃；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15、最高工作温度：60℃；</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摄影宝</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1、尺寸：130*76.5*21.5；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2、重量：350g；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3、充电时间：最大充电电流2A；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4、电池容量：16000mAh；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5、电池类型：锂离子电芯；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6、产品材质：铝镁合金；</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视频采集卡</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最大输入 1920x1080p@60/50fps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USB3.0(SuperSpeed)UVC/USB2.0(High-Speed)UVC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视频输入 1XSD,IXHDM,IXDVHxYPbPr,1xCVBS,1xsVideo</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1920x1200p@60fps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UVC视频输出分辨率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音频输入 HDMI Embedded Audio</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音频格式 Stereo/16-bit/48000Hz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操作系统 Windows7/Windows8.1/Windows 10</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直播外置声卡</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话筒输入1/2(平衡)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 +0.0/-0.3Db，20Hz-22Khz，增益范围: +6DB-+60DB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线路输入3/4(平衡)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最大输入电平:+24 DBU，输入电阻: 10KO ，增益范围: -12DB-+42DB ；Hi-Z输入2(非平衡)，最大输入电平:+9.0DBU，输入电阻: 1MO 增益范围: +0.8DB-+54.8DB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主要输出 (阻抗平衡) 频率响应: +0.0/-0.2Db，20Hz-22Khz ，最大输入电平:+16 DBU输入电阻: 750 ，PHONES 1/2；最大输出电平:100MW+100MW，</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3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直播间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无线麦克风（一拖二）</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声学原理 Pre-polarised压力传感器，极地模式 全向，频率范围 50 hz -20 khz ，最大SPL(麦克风) 100分贝(1 khz @1m) dBu ，最大输入电平(3.5毫米) -20伏特分贝；麦克风前置放大器增益 20 db；等效噪声级(加权) 22 dba ；功率要求 内置可充电的锂电池充电通过 USB 5 v,0.3，操作时间 7个小时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直播间专业录音麦克风（主麦）</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频率响应(话筒)；自由场中的灵敏度，无负载；标称阻抗终端阻抗等效噪声电平；019x250mm，40-20000Hz，5mV/Pa+-1dB，25Ω，800Ω13dB根据CCIR468-3标准加权测量的等效噪声电平24dB声压级(被动)；电流消耗电压130dB2mA，48+-4V Phantom；</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直播间专业录音麦克风（副麦）</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超心形拾音模式和平坦的频率响应，可变增益控制，自动感测的35mm输出，USB输出，数字控制，dB峰值警示，内置的可充电锂离子电池，重量(94g)</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3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摄影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柔光纸套装</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铝管设计/360°万向轮/0cm铝管*6 90cm铝管*16 120cm铝管*6 进口柔光纸*3 双轮转盘*2 金属夹子*20 万向轮*12</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运动相机</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黑色传感器 1660W像素（双合成） 镜头 149.2度 屏幕 2.27英寸彩色（1.4英寸）麦克风；防水 10米；折叠接口：71宽*55高*33.6深（毫米）158g 视频分辨率 5K 5120*2880*30帧，4K 3840*2160*60帧，2.7K 2704*1520*120帧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直播电脑主机</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1、CPU 英特尔”酷睿Mi711700K；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 32GB(16GB DDR42933MHz*2)；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3、显卡 GeForce RTX3070L8G；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4、芯片 Z590芯片组主板；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5、SSD 500GBSSD；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6、磁盘 1TB HDD；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7、散 热 120mm水冷散热器；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8、系统 预装正版windows10家庭版；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 80PLUS认证650W金牌电源；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4K竖屏显示器</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1、27英寸/屏幕比例16：9/分辨率:3840*2160/点距（mm）0.1554*01554mm/色域：sRGB 99%（CIE1931）色深：1.07B/亮度：300cd每秒；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2、显示 色数 10.7亿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3、亮度 350cd/m2(典型值)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4、点距 0.1554(H)X0.1554(V)mm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5、电源类型 内置电源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6、底座 升降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7、产品净重(kg) 净重(含支架/底座):6.5kg净重(不含支架/底座):4.7kg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 音频/耳机输出 1个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9、USB扩展/充电 2个 ；10、DP 1个 ，HDMI接口 2个；</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存储卡SD卡</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4K超清视频极速闪存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RAW高速连拍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相机配件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128GHCSD 300MB/S</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33</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无人机电池</w:t>
            </w:r>
          </w:p>
        </w:tc>
        <w:tc>
          <w:tcPr>
            <w:tcW w:w="16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4芯串联聚合物理离子/3850 mAh</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块</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2</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cs="宋体"/>
                <w:i w:val="0"/>
                <w:iCs w:val="0"/>
                <w:color w:val="000000"/>
                <w:kern w:val="0"/>
                <w:sz w:val="22"/>
                <w:szCs w:val="22"/>
                <w:u w:val="none"/>
                <w:lang w:val="en-US" w:eastAsia="zh-CN" w:bidi="ar"/>
              </w:rPr>
              <w:t>4</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专业摄影脚架</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1、最大承重：7kg，云台重量：2.19kg；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2、俯仰阻尼:1-4，水平阻尼:1-4；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3、动态平衡：1-4，动态平衡调节钮：无，俯仰角度：+90°/-66°；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4、温度范围：-40℃/+60℃；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5、水平泡：玻璃，球碗直径：75mm；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6、脚架材质：铝合金，最小高度：750cm；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7、最大高度：185cm；</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35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空调</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5匹冷暖天花机：匹数:5P及以上</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制冷类型:冷暖，定频/变频:定频</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能效等级:三级，电辅加热:支持</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制冷量(W):12000，制冷功率(W):4100，制热量(W):16200</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制热功率(W):7150，电辅加热功率(W):3000</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4</w:t>
            </w:r>
          </w:p>
        </w:tc>
        <w:tc>
          <w:tcPr>
            <w:tcW w:w="7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0"/>
                <w:szCs w:val="20"/>
                <w:u w:val="none"/>
              </w:rPr>
            </w:pPr>
          </w:p>
        </w:tc>
      </w:tr>
    </w:tbl>
    <w:p>
      <w:pPr>
        <w:rPr>
          <w:rFonts w:hint="default"/>
          <w:lang w:val="en-US" w:eastAsia="zh-CN"/>
        </w:rPr>
      </w:pPr>
    </w:p>
    <w:p>
      <w:pPr>
        <w:pStyle w:val="5"/>
        <w:tabs>
          <w:tab w:val="left" w:pos="1080"/>
          <w:tab w:val="clear" w:pos="720"/>
        </w:tabs>
        <w:bidi w:val="0"/>
        <w:rPr>
          <w:rFonts w:hint="eastAsia"/>
          <w:lang w:val="en-US" w:eastAsia="zh-CN"/>
        </w:rPr>
      </w:pPr>
      <w:bookmarkStart w:id="432" w:name="_Toc4942"/>
      <w:r>
        <w:rPr>
          <w:rFonts w:hint="eastAsia"/>
          <w:lang w:val="en-US" w:eastAsia="zh-CN"/>
        </w:rPr>
        <w:t>抖音短视频拍摄制作</w:t>
      </w:r>
      <w:bookmarkEnd w:id="432"/>
    </w:p>
    <w:p>
      <w:pPr>
        <w:pStyle w:val="179"/>
        <w:ind w:firstLine="566"/>
        <w:rPr>
          <w:rFonts w:hint="eastAsia" w:ascii="宋体" w:hAnsi="宋体" w:eastAsia="宋体" w:cs="宋体"/>
          <w:sz w:val="24"/>
          <w:szCs w:val="24"/>
        </w:rPr>
      </w:pPr>
      <w:r>
        <w:rPr>
          <w:rFonts w:hint="eastAsia" w:cs="宋体"/>
          <w:color w:val="000000" w:themeColor="text1"/>
          <w:lang w:val="en-US" w:eastAsia="zh-CN"/>
          <w14:textFill>
            <w14:solidFill>
              <w14:schemeClr w14:val="tx1"/>
            </w14:solidFill>
          </w14:textFill>
        </w:rPr>
        <w:t xml:space="preserve"> </w:t>
      </w:r>
      <w:r>
        <w:rPr>
          <w:rFonts w:hint="eastAsia" w:ascii="宋体" w:hAnsi="宋体" w:eastAsia="宋体" w:cs="宋体"/>
          <w:sz w:val="24"/>
          <w:szCs w:val="24"/>
        </w:rPr>
        <w:t>为和平县区域公用品牌农产品拍摄系列剧情短片，一年内共1000条兴趣电商短视频，每条视频</w:t>
      </w:r>
      <w:r>
        <w:rPr>
          <w:rFonts w:hint="eastAsia" w:ascii="宋体" w:hAnsi="宋体" w:eastAsia="宋体" w:cs="宋体"/>
          <w:sz w:val="24"/>
          <w:szCs w:val="24"/>
          <w:lang w:val="en-US" w:eastAsia="zh-CN"/>
        </w:rPr>
        <w:t>时长</w:t>
      </w:r>
      <w:r>
        <w:rPr>
          <w:rFonts w:hint="eastAsia" w:ascii="宋体" w:hAnsi="宋体" w:eastAsia="宋体" w:cs="宋体"/>
          <w:sz w:val="24"/>
          <w:szCs w:val="24"/>
        </w:rPr>
        <w:t>为15-35秒。该服务包含：</w:t>
      </w:r>
    </w:p>
    <w:p>
      <w:pPr>
        <w:pStyle w:val="179"/>
        <w:numPr>
          <w:ilvl w:val="0"/>
          <w:numId w:val="0"/>
        </w:numPr>
        <w:ind w:left="6" w:leftChars="0" w:firstLine="480" w:firstLineChars="200"/>
        <w:rPr>
          <w:rFonts w:hint="eastAsia" w:ascii="宋体" w:hAnsi="宋体" w:eastAsia="宋体" w:cs="宋体"/>
          <w:sz w:val="24"/>
          <w:szCs w:val="24"/>
        </w:rPr>
      </w:pPr>
      <w:r>
        <w:rPr>
          <w:rFonts w:hint="eastAsia" w:ascii="宋体" w:hAnsi="宋体" w:eastAsia="宋体" w:cs="宋体"/>
          <w:sz w:val="24"/>
          <w:szCs w:val="24"/>
        </w:rPr>
        <w:t>专业制作团队编撰创意剧本；</w:t>
      </w:r>
    </w:p>
    <w:p>
      <w:pPr>
        <w:pStyle w:val="179"/>
        <w:numPr>
          <w:ilvl w:val="0"/>
          <w:numId w:val="0"/>
        </w:numPr>
        <w:ind w:left="6" w:leftChars="0" w:firstLine="480" w:firstLineChars="200"/>
        <w:rPr>
          <w:rFonts w:hint="eastAsia" w:ascii="宋体" w:hAnsi="宋体" w:eastAsia="宋体" w:cs="宋体"/>
          <w:sz w:val="24"/>
          <w:szCs w:val="24"/>
        </w:rPr>
      </w:pPr>
      <w:r>
        <w:rPr>
          <w:rFonts w:hint="eastAsia" w:ascii="宋体" w:hAnsi="宋体" w:eastAsia="宋体" w:cs="宋体"/>
          <w:sz w:val="24"/>
          <w:szCs w:val="24"/>
        </w:rPr>
        <w:t>专业拍摄团队现场拍摄制作；</w:t>
      </w:r>
    </w:p>
    <w:p>
      <w:pPr>
        <w:pStyle w:val="179"/>
        <w:numPr>
          <w:ilvl w:val="0"/>
          <w:numId w:val="0"/>
        </w:numPr>
        <w:ind w:left="6" w:leftChars="0" w:firstLine="480" w:firstLineChars="200"/>
        <w:rPr>
          <w:rFonts w:hint="eastAsia" w:ascii="宋体" w:hAnsi="宋体" w:eastAsia="宋体" w:cs="宋体"/>
          <w:sz w:val="24"/>
          <w:szCs w:val="24"/>
        </w:rPr>
      </w:pPr>
      <w:r>
        <w:rPr>
          <w:rFonts w:hint="eastAsia" w:ascii="宋体" w:hAnsi="宋体" w:eastAsia="宋体" w:cs="宋体"/>
          <w:sz w:val="24"/>
          <w:szCs w:val="24"/>
        </w:rPr>
        <w:t>专业后期制作团队剪接操作；</w:t>
      </w:r>
    </w:p>
    <w:p>
      <w:pPr>
        <w:pStyle w:val="179"/>
        <w:numPr>
          <w:ilvl w:val="0"/>
          <w:numId w:val="0"/>
        </w:numPr>
        <w:ind w:left="6" w:leftChars="0" w:firstLine="480" w:firstLineChars="200"/>
        <w:rPr>
          <w:b/>
          <w:bCs w:val="0"/>
          <w:sz w:val="24"/>
          <w:szCs w:val="24"/>
        </w:rPr>
      </w:pPr>
      <w:r>
        <w:rPr>
          <w:rFonts w:hint="eastAsia" w:ascii="宋体" w:hAnsi="宋体" w:eastAsia="宋体" w:cs="宋体"/>
          <w:sz w:val="24"/>
          <w:szCs w:val="24"/>
        </w:rPr>
        <w:t>专业投放团队将短视频投向各主流短视频平台</w:t>
      </w:r>
      <w:r>
        <w:rPr>
          <w:rFonts w:hint="eastAsia" w:ascii="宋体" w:hAnsi="宋体" w:eastAsia="宋体" w:cs="宋体"/>
          <w:sz w:val="24"/>
          <w:szCs w:val="24"/>
          <w:lang w:eastAsia="zh-CN"/>
        </w:rPr>
        <w:t>。</w:t>
      </w:r>
      <w:bookmarkStart w:id="433" w:name="_Toc84376194"/>
    </w:p>
    <w:p>
      <w:pPr>
        <w:pStyle w:val="6"/>
        <w:bidi w:val="0"/>
        <w:rPr>
          <w:rFonts w:hint="eastAsia"/>
          <w:lang w:val="en-US" w:eastAsia="zh-CN"/>
        </w:rPr>
      </w:pPr>
      <w:r>
        <w:rPr>
          <w:rFonts w:hint="eastAsia"/>
          <w:lang w:val="en-US" w:eastAsia="zh-CN"/>
        </w:rPr>
        <w:t>视频拍摄具体服务内容（1年）</w:t>
      </w:r>
      <w:bookmarkEnd w:id="433"/>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935"/>
        <w:gridCol w:w="4314"/>
        <w:gridCol w:w="932"/>
        <w:gridCol w:w="887"/>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306"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54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服务名称</w:t>
            </w:r>
          </w:p>
        </w:tc>
        <w:tc>
          <w:tcPr>
            <w:tcW w:w="252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服务内容</w:t>
            </w:r>
          </w:p>
        </w:tc>
        <w:tc>
          <w:tcPr>
            <w:tcW w:w="546" w:type="pct"/>
            <w:shd w:val="clear" w:color="auto"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人员数量</w:t>
            </w:r>
          </w:p>
        </w:tc>
        <w:tc>
          <w:tcPr>
            <w:tcW w:w="520" w:type="pct"/>
            <w:shd w:val="clear" w:color="auto"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单位</w:t>
            </w:r>
          </w:p>
        </w:tc>
        <w:tc>
          <w:tcPr>
            <w:tcW w:w="548" w:type="pct"/>
            <w:shd w:val="clear" w:color="auto"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服务</w:t>
            </w:r>
          </w:p>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周期</w:t>
            </w:r>
          </w:p>
          <w:p>
            <w:pPr>
              <w:pStyle w:val="179"/>
              <w:keepNext w:val="0"/>
              <w:keepLines w:val="0"/>
              <w:suppressLineNumbers w:val="0"/>
              <w:spacing w:before="0" w:beforeAutospacing="0" w:after="0" w:afterAutospacing="0" w:line="260" w:lineRule="exact"/>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06"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54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实地采风</w:t>
            </w:r>
          </w:p>
        </w:tc>
        <w:tc>
          <w:tcPr>
            <w:tcW w:w="2528" w:type="pct"/>
            <w:vAlign w:val="center"/>
          </w:tcPr>
          <w:p>
            <w:pPr>
              <w:pStyle w:val="179"/>
              <w:keepNext w:val="0"/>
              <w:keepLines w:val="0"/>
              <w:numPr>
                <w:ilvl w:val="0"/>
                <w:numId w:val="50"/>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专业团队实地采风</w:t>
            </w:r>
          </w:p>
          <w:p>
            <w:pPr>
              <w:pStyle w:val="179"/>
              <w:keepNext w:val="0"/>
              <w:keepLines w:val="0"/>
              <w:numPr>
                <w:ilvl w:val="0"/>
                <w:numId w:val="50"/>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了解和平县风土人情、文化结构、产品构成、旅游</w:t>
            </w:r>
            <w:r>
              <w:rPr>
                <w:rFonts w:hint="eastAsia" w:ascii="宋体" w:hAnsi="宋体" w:eastAsia="宋体" w:cs="宋体"/>
                <w:sz w:val="24"/>
                <w:szCs w:val="24"/>
                <w:lang w:val="en-US" w:eastAsia="zh-CN"/>
              </w:rPr>
              <w:t>资讯</w:t>
            </w:r>
            <w:r>
              <w:rPr>
                <w:rFonts w:hint="eastAsia" w:ascii="宋体" w:hAnsi="宋体" w:eastAsia="宋体" w:cs="宋体"/>
                <w:sz w:val="24"/>
                <w:szCs w:val="24"/>
              </w:rPr>
              <w:t>等</w:t>
            </w:r>
          </w:p>
          <w:p>
            <w:pPr>
              <w:pStyle w:val="179"/>
              <w:keepNext w:val="0"/>
              <w:keepLines w:val="0"/>
              <w:numPr>
                <w:ilvl w:val="0"/>
                <w:numId w:val="50"/>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为往后拍摄制定大致方向</w:t>
            </w:r>
          </w:p>
        </w:tc>
        <w:tc>
          <w:tcPr>
            <w:tcW w:w="546"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人</w:t>
            </w:r>
          </w:p>
        </w:tc>
        <w:tc>
          <w:tcPr>
            <w:tcW w:w="520"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项</w:t>
            </w:r>
          </w:p>
        </w:tc>
        <w:tc>
          <w:tcPr>
            <w:tcW w:w="54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06"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54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拍摄计划制定</w:t>
            </w:r>
          </w:p>
        </w:tc>
        <w:tc>
          <w:tcPr>
            <w:tcW w:w="2528" w:type="pct"/>
            <w:vAlign w:val="center"/>
          </w:tcPr>
          <w:p>
            <w:pPr>
              <w:pStyle w:val="179"/>
              <w:keepNext w:val="0"/>
              <w:keepLines w:val="0"/>
              <w:numPr>
                <w:ilvl w:val="0"/>
                <w:numId w:val="51"/>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制定全年拍摄大纲</w:t>
            </w:r>
          </w:p>
          <w:p>
            <w:pPr>
              <w:pStyle w:val="179"/>
              <w:keepNext w:val="0"/>
              <w:keepLines w:val="0"/>
              <w:numPr>
                <w:ilvl w:val="0"/>
                <w:numId w:val="51"/>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根据节气、气候、收成情况、长短黄金周等信息制定全年拍摄纲领</w:t>
            </w:r>
          </w:p>
        </w:tc>
        <w:tc>
          <w:tcPr>
            <w:tcW w:w="546"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人</w:t>
            </w:r>
          </w:p>
        </w:tc>
        <w:tc>
          <w:tcPr>
            <w:tcW w:w="520"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项</w:t>
            </w:r>
          </w:p>
        </w:tc>
        <w:tc>
          <w:tcPr>
            <w:tcW w:w="54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06"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54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剧本大纲</w:t>
            </w:r>
          </w:p>
        </w:tc>
        <w:tc>
          <w:tcPr>
            <w:tcW w:w="2528" w:type="pct"/>
            <w:vAlign w:val="center"/>
          </w:tcPr>
          <w:p>
            <w:pPr>
              <w:pStyle w:val="179"/>
              <w:keepNext w:val="0"/>
              <w:keepLines w:val="0"/>
              <w:numPr>
                <w:ilvl w:val="0"/>
                <w:numId w:val="52"/>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制定一条贯穿全年的剧本大纲（每月连载层层递进吸引观看）</w:t>
            </w:r>
          </w:p>
          <w:p>
            <w:pPr>
              <w:pStyle w:val="179"/>
              <w:keepNext w:val="0"/>
              <w:keepLines w:val="0"/>
              <w:numPr>
                <w:ilvl w:val="0"/>
                <w:numId w:val="52"/>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制定一系列专题视频大纲（产品、旅游、特色、文化等专题视频）</w:t>
            </w:r>
          </w:p>
          <w:p>
            <w:pPr>
              <w:pStyle w:val="179"/>
              <w:keepNext w:val="0"/>
              <w:keepLines w:val="0"/>
              <w:numPr>
                <w:ilvl w:val="0"/>
                <w:numId w:val="52"/>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制定一系列轻松搞笑有趣的专题视频大纲</w:t>
            </w:r>
          </w:p>
          <w:p>
            <w:pPr>
              <w:pStyle w:val="179"/>
              <w:keepNext w:val="0"/>
              <w:keepLines w:val="0"/>
              <w:numPr>
                <w:ilvl w:val="0"/>
                <w:numId w:val="52"/>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每月预留数条紧扣时下潮流热点社会舆论的特约视频</w:t>
            </w:r>
          </w:p>
        </w:tc>
        <w:tc>
          <w:tcPr>
            <w:tcW w:w="546"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人</w:t>
            </w:r>
          </w:p>
        </w:tc>
        <w:tc>
          <w:tcPr>
            <w:tcW w:w="520"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项</w:t>
            </w:r>
          </w:p>
        </w:tc>
        <w:tc>
          <w:tcPr>
            <w:tcW w:w="54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06"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54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每季拍摄</w:t>
            </w:r>
          </w:p>
        </w:tc>
        <w:tc>
          <w:tcPr>
            <w:tcW w:w="2528" w:type="pct"/>
            <w:vAlign w:val="center"/>
          </w:tcPr>
          <w:p>
            <w:pPr>
              <w:pStyle w:val="179"/>
              <w:keepNext w:val="0"/>
              <w:keepLines w:val="0"/>
              <w:numPr>
                <w:ilvl w:val="0"/>
                <w:numId w:val="53"/>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每月拍摄5-7天</w:t>
            </w:r>
          </w:p>
          <w:p>
            <w:pPr>
              <w:pStyle w:val="179"/>
              <w:keepNext w:val="0"/>
              <w:keepLines w:val="0"/>
              <w:numPr>
                <w:ilvl w:val="0"/>
                <w:numId w:val="53"/>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专业团队（导演、摄像、灯光、道具、化妆、服装、场务、演员）拍摄当月视频素材</w:t>
            </w:r>
          </w:p>
        </w:tc>
        <w:tc>
          <w:tcPr>
            <w:tcW w:w="546"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8</w:t>
            </w:r>
            <w:r>
              <w:rPr>
                <w:rFonts w:hint="eastAsia" w:ascii="宋体" w:hAnsi="宋体" w:eastAsia="宋体" w:cs="宋体"/>
                <w:sz w:val="24"/>
                <w:szCs w:val="24"/>
                <w:lang w:val="en-US" w:eastAsia="zh-CN"/>
              </w:rPr>
              <w:t>人</w:t>
            </w:r>
          </w:p>
        </w:tc>
        <w:tc>
          <w:tcPr>
            <w:tcW w:w="520"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项</w:t>
            </w:r>
          </w:p>
        </w:tc>
        <w:tc>
          <w:tcPr>
            <w:tcW w:w="54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7天/月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06"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54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每月制作</w:t>
            </w:r>
          </w:p>
        </w:tc>
        <w:tc>
          <w:tcPr>
            <w:tcW w:w="2528" w:type="pct"/>
            <w:vAlign w:val="center"/>
          </w:tcPr>
          <w:p>
            <w:pPr>
              <w:pStyle w:val="179"/>
              <w:keepNext w:val="0"/>
              <w:keepLines w:val="0"/>
              <w:numPr>
                <w:ilvl w:val="0"/>
                <w:numId w:val="54"/>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素材整理</w:t>
            </w:r>
          </w:p>
          <w:p>
            <w:pPr>
              <w:pStyle w:val="179"/>
              <w:keepNext w:val="0"/>
              <w:keepLines w:val="0"/>
              <w:numPr>
                <w:ilvl w:val="0"/>
                <w:numId w:val="54"/>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视频简介</w:t>
            </w:r>
          </w:p>
          <w:p>
            <w:pPr>
              <w:pStyle w:val="179"/>
              <w:keepNext w:val="0"/>
              <w:keepLines w:val="0"/>
              <w:numPr>
                <w:ilvl w:val="0"/>
                <w:numId w:val="54"/>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后期调制</w:t>
            </w:r>
          </w:p>
          <w:p>
            <w:pPr>
              <w:pStyle w:val="179"/>
              <w:keepNext w:val="0"/>
              <w:keepLines w:val="0"/>
              <w:numPr>
                <w:ilvl w:val="0"/>
                <w:numId w:val="54"/>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对白字幕配乐</w:t>
            </w:r>
          </w:p>
          <w:p>
            <w:pPr>
              <w:pStyle w:val="179"/>
              <w:keepNext w:val="0"/>
              <w:keepLines w:val="0"/>
              <w:numPr>
                <w:ilvl w:val="0"/>
                <w:numId w:val="54"/>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封面标题设计</w:t>
            </w:r>
          </w:p>
          <w:p>
            <w:pPr>
              <w:pStyle w:val="179"/>
              <w:keepNext w:val="0"/>
              <w:keepLines w:val="0"/>
              <w:numPr>
                <w:ilvl w:val="0"/>
                <w:numId w:val="54"/>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宣传文案配合</w:t>
            </w:r>
          </w:p>
          <w:p>
            <w:pPr>
              <w:pStyle w:val="179"/>
              <w:keepNext w:val="0"/>
              <w:keepLines w:val="0"/>
              <w:numPr>
                <w:ilvl w:val="0"/>
                <w:numId w:val="54"/>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当月完成下月推送视频</w:t>
            </w:r>
          </w:p>
        </w:tc>
        <w:tc>
          <w:tcPr>
            <w:tcW w:w="546"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人</w:t>
            </w:r>
          </w:p>
        </w:tc>
        <w:tc>
          <w:tcPr>
            <w:tcW w:w="520"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项</w:t>
            </w:r>
          </w:p>
        </w:tc>
        <w:tc>
          <w:tcPr>
            <w:tcW w:w="54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10天/月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06"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54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每月推送</w:t>
            </w:r>
          </w:p>
        </w:tc>
        <w:tc>
          <w:tcPr>
            <w:tcW w:w="2528" w:type="pct"/>
            <w:vAlign w:val="center"/>
          </w:tcPr>
          <w:p>
            <w:pPr>
              <w:pStyle w:val="179"/>
              <w:keepNext w:val="0"/>
              <w:keepLines w:val="0"/>
              <w:numPr>
                <w:ilvl w:val="0"/>
                <w:numId w:val="55"/>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专业投手推送视频到各大平台渠道</w:t>
            </w:r>
          </w:p>
          <w:p>
            <w:pPr>
              <w:pStyle w:val="179"/>
              <w:keepNext w:val="0"/>
              <w:keepLines w:val="0"/>
              <w:numPr>
                <w:ilvl w:val="0"/>
                <w:numId w:val="55"/>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实时监控每条视频数据（增粉速度、比例、反馈评论、点赞等）</w:t>
            </w:r>
          </w:p>
          <w:p>
            <w:pPr>
              <w:pStyle w:val="179"/>
              <w:keepNext w:val="0"/>
              <w:keepLines w:val="0"/>
              <w:numPr>
                <w:ilvl w:val="0"/>
                <w:numId w:val="55"/>
              </w:numPr>
              <w:suppressLineNumbers w:val="0"/>
              <w:spacing w:before="0" w:beforeAutospacing="0" w:after="0" w:afterAutospacing="0"/>
              <w:ind w:right="0" w:firstLineChars="0"/>
              <w:jc w:val="both"/>
              <w:rPr>
                <w:rFonts w:hint="eastAsia" w:ascii="宋体" w:hAnsi="宋体" w:eastAsia="宋体" w:cs="宋体"/>
                <w:sz w:val="24"/>
                <w:szCs w:val="24"/>
              </w:rPr>
            </w:pPr>
            <w:r>
              <w:rPr>
                <w:rFonts w:hint="eastAsia" w:ascii="宋体" w:hAnsi="宋体" w:eastAsia="宋体" w:cs="宋体"/>
                <w:sz w:val="24"/>
                <w:szCs w:val="24"/>
              </w:rPr>
              <w:t>根据数据分析结果调整下个月视频剧本内容</w:t>
            </w:r>
          </w:p>
        </w:tc>
        <w:tc>
          <w:tcPr>
            <w:tcW w:w="546"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人</w:t>
            </w:r>
          </w:p>
        </w:tc>
        <w:tc>
          <w:tcPr>
            <w:tcW w:w="520"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项</w:t>
            </w:r>
          </w:p>
        </w:tc>
        <w:tc>
          <w:tcPr>
            <w:tcW w:w="548" w:type="pct"/>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全年进行</w:t>
            </w:r>
          </w:p>
        </w:tc>
      </w:tr>
    </w:tbl>
    <w:p>
      <w:pPr>
        <w:pStyle w:val="6"/>
        <w:bidi w:val="0"/>
        <w:rPr>
          <w:rFonts w:hint="eastAsia" w:cs="宋体"/>
          <w:color w:val="000000" w:themeColor="text1"/>
          <w:lang w:val="en-US" w:eastAsia="zh-CN"/>
          <w14:textFill>
            <w14:solidFill>
              <w14:schemeClr w14:val="tx1"/>
            </w14:solidFill>
          </w14:textFill>
        </w:rPr>
      </w:pPr>
      <w:bookmarkStart w:id="434" w:name="_Toc84376195"/>
      <w:r>
        <w:rPr>
          <w:rFonts w:hint="eastAsia" w:cs="宋体"/>
          <w:color w:val="000000" w:themeColor="text1"/>
          <w:lang w:val="en-US" w:eastAsia="zh-CN"/>
          <w14:textFill>
            <w14:solidFill>
              <w14:schemeClr w14:val="tx1"/>
            </w14:solidFill>
          </w14:textFill>
        </w:rPr>
        <w:t>每次</w:t>
      </w:r>
      <w:r>
        <w:rPr>
          <w:rFonts w:hint="eastAsia" w:cs="宋体"/>
          <w:lang w:val="en-US" w:eastAsia="zh-CN"/>
        </w:rPr>
        <w:t>拍摄</w:t>
      </w:r>
      <w:r>
        <w:rPr>
          <w:rFonts w:hint="eastAsia" w:cs="宋体"/>
          <w:color w:val="000000" w:themeColor="text1"/>
          <w:lang w:val="en-US" w:eastAsia="zh-CN"/>
          <w14:textFill>
            <w14:solidFill>
              <w14:schemeClr w14:val="tx1"/>
            </w14:solidFill>
          </w14:textFill>
        </w:rPr>
        <w:t>执行内容（每月7天）</w:t>
      </w:r>
      <w:bookmarkEnd w:id="434"/>
    </w:p>
    <w:tbl>
      <w:tblPr>
        <w:tblStyle w:val="34"/>
        <w:tblW w:w="4998" w:type="pct"/>
        <w:tblInd w:w="0" w:type="dxa"/>
        <w:tblLayout w:type="autofit"/>
        <w:tblCellMar>
          <w:top w:w="0" w:type="dxa"/>
          <w:left w:w="108" w:type="dxa"/>
          <w:bottom w:w="0" w:type="dxa"/>
          <w:right w:w="108" w:type="dxa"/>
        </w:tblCellMar>
      </w:tblPr>
      <w:tblGrid>
        <w:gridCol w:w="868"/>
        <w:gridCol w:w="1465"/>
        <w:gridCol w:w="3316"/>
        <w:gridCol w:w="814"/>
        <w:gridCol w:w="662"/>
        <w:gridCol w:w="739"/>
        <w:gridCol w:w="661"/>
      </w:tblGrid>
      <w:tr>
        <w:tblPrEx>
          <w:tblCellMar>
            <w:top w:w="0" w:type="dxa"/>
            <w:left w:w="108" w:type="dxa"/>
            <w:bottom w:w="0" w:type="dxa"/>
            <w:right w:w="108" w:type="dxa"/>
          </w:tblCellMar>
        </w:tblPrEx>
        <w:trPr>
          <w:trHeight w:val="933" w:hRule="atLeast"/>
        </w:trPr>
        <w:tc>
          <w:tcPr>
            <w:tcW w:w="509" w:type="pct"/>
            <w:tcBorders>
              <w:top w:val="single" w:color="auto" w:sz="4" w:space="0"/>
              <w:left w:val="single" w:color="auto" w:sz="8" w:space="0"/>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859"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项目名称</w:t>
            </w:r>
          </w:p>
        </w:tc>
        <w:tc>
          <w:tcPr>
            <w:tcW w:w="1944"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规格/内容</w:t>
            </w:r>
          </w:p>
        </w:tc>
        <w:tc>
          <w:tcPr>
            <w:tcW w:w="477"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性质</w:t>
            </w:r>
          </w:p>
        </w:tc>
        <w:tc>
          <w:tcPr>
            <w:tcW w:w="388"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bCs/>
                <w:kern w:val="0"/>
                <w:sz w:val="24"/>
                <w:szCs w:val="24"/>
                <w:lang w:val="en-US" w:eastAsia="zh-CN" w:bidi="ar-SA"/>
              </w:rPr>
            </w:pPr>
            <w:r>
              <w:rPr>
                <w:rFonts w:hint="eastAsia" w:ascii="宋体" w:hAnsi="宋体" w:eastAsia="宋体" w:cs="宋体"/>
                <w:sz w:val="24"/>
                <w:szCs w:val="24"/>
              </w:rPr>
              <w:t>单位</w:t>
            </w:r>
          </w:p>
        </w:tc>
        <w:tc>
          <w:tcPr>
            <w:tcW w:w="433"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数量</w:t>
            </w:r>
          </w:p>
        </w:tc>
        <w:tc>
          <w:tcPr>
            <w:tcW w:w="387"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场次</w:t>
            </w:r>
          </w:p>
        </w:tc>
      </w:tr>
      <w:tr>
        <w:tblPrEx>
          <w:tblCellMar>
            <w:top w:w="0" w:type="dxa"/>
            <w:left w:w="108" w:type="dxa"/>
            <w:bottom w:w="0" w:type="dxa"/>
            <w:right w:w="108" w:type="dxa"/>
          </w:tblCellMar>
        </w:tblPrEx>
        <w:trPr>
          <w:trHeight w:val="1002" w:hRule="atLeast"/>
        </w:trPr>
        <w:tc>
          <w:tcPr>
            <w:tcW w:w="509" w:type="pct"/>
            <w:tcBorders>
              <w:top w:val="single" w:color="auto" w:sz="4" w:space="0"/>
              <w:left w:val="single" w:color="auto" w:sz="8" w:space="0"/>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859"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租车</w:t>
            </w:r>
          </w:p>
        </w:tc>
        <w:tc>
          <w:tcPr>
            <w:tcW w:w="1944"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合共8人租用两台7座车</w:t>
            </w:r>
          </w:p>
        </w:tc>
        <w:tc>
          <w:tcPr>
            <w:tcW w:w="477"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租赁</w:t>
            </w:r>
          </w:p>
        </w:tc>
        <w:tc>
          <w:tcPr>
            <w:tcW w:w="388"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bCs/>
                <w:kern w:val="0"/>
                <w:sz w:val="24"/>
                <w:szCs w:val="24"/>
                <w:lang w:val="en-US" w:eastAsia="zh-CN" w:bidi="ar-SA"/>
              </w:rPr>
            </w:pPr>
            <w:r>
              <w:rPr>
                <w:rFonts w:hint="eastAsia" w:ascii="宋体" w:hAnsi="宋体" w:eastAsia="宋体" w:cs="宋体"/>
                <w:sz w:val="24"/>
                <w:szCs w:val="24"/>
              </w:rPr>
              <w:t>台</w:t>
            </w:r>
          </w:p>
        </w:tc>
        <w:tc>
          <w:tcPr>
            <w:tcW w:w="433"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387"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7天</w:t>
            </w:r>
          </w:p>
        </w:tc>
      </w:tr>
      <w:tr>
        <w:tblPrEx>
          <w:tblCellMar>
            <w:top w:w="0" w:type="dxa"/>
            <w:left w:w="108" w:type="dxa"/>
            <w:bottom w:w="0" w:type="dxa"/>
            <w:right w:w="108" w:type="dxa"/>
          </w:tblCellMar>
        </w:tblPrEx>
        <w:trPr>
          <w:trHeight w:val="600" w:hRule="atLeast"/>
        </w:trPr>
        <w:tc>
          <w:tcPr>
            <w:tcW w:w="509" w:type="pct"/>
            <w:tcBorders>
              <w:top w:val="single" w:color="auto" w:sz="4" w:space="0"/>
              <w:left w:val="single" w:color="auto" w:sz="8" w:space="0"/>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859"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拍摄设备</w:t>
            </w:r>
          </w:p>
        </w:tc>
        <w:tc>
          <w:tcPr>
            <w:tcW w:w="1944"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CANON 5D Mark2</w:t>
            </w:r>
          </w:p>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基础镜头1组</w:t>
            </w:r>
          </w:p>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摄影灯2组</w:t>
            </w:r>
          </w:p>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轨道2组</w:t>
            </w:r>
          </w:p>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辅助器材（云台、支架等）1组</w:t>
            </w:r>
          </w:p>
        </w:tc>
        <w:tc>
          <w:tcPr>
            <w:tcW w:w="477"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租赁</w:t>
            </w:r>
          </w:p>
        </w:tc>
        <w:tc>
          <w:tcPr>
            <w:tcW w:w="388"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bCs/>
                <w:kern w:val="0"/>
                <w:sz w:val="24"/>
                <w:szCs w:val="24"/>
                <w:lang w:val="en-US" w:eastAsia="zh-CN" w:bidi="ar-SA"/>
              </w:rPr>
            </w:pPr>
            <w:r>
              <w:rPr>
                <w:rFonts w:hint="eastAsia" w:ascii="宋体" w:hAnsi="宋体" w:eastAsia="宋体" w:cs="宋体"/>
                <w:sz w:val="24"/>
                <w:szCs w:val="24"/>
              </w:rPr>
              <w:t>组</w:t>
            </w:r>
          </w:p>
        </w:tc>
        <w:tc>
          <w:tcPr>
            <w:tcW w:w="433"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若干</w:t>
            </w:r>
          </w:p>
        </w:tc>
        <w:tc>
          <w:tcPr>
            <w:tcW w:w="387"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7天</w:t>
            </w:r>
          </w:p>
        </w:tc>
      </w:tr>
      <w:tr>
        <w:tblPrEx>
          <w:tblCellMar>
            <w:top w:w="0" w:type="dxa"/>
            <w:left w:w="108" w:type="dxa"/>
            <w:bottom w:w="0" w:type="dxa"/>
            <w:right w:w="108" w:type="dxa"/>
          </w:tblCellMar>
        </w:tblPrEx>
        <w:trPr>
          <w:trHeight w:val="600" w:hRule="atLeast"/>
        </w:trPr>
        <w:tc>
          <w:tcPr>
            <w:tcW w:w="509" w:type="pct"/>
            <w:tcBorders>
              <w:top w:val="single" w:color="auto" w:sz="4" w:space="0"/>
              <w:left w:val="single" w:color="auto" w:sz="8" w:space="0"/>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859"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辅助设备</w:t>
            </w:r>
          </w:p>
        </w:tc>
        <w:tc>
          <w:tcPr>
            <w:tcW w:w="1944"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MacBook pro2台</w:t>
            </w:r>
          </w:p>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移动硬盘</w:t>
            </w:r>
            <w:r>
              <w:rPr>
                <w:rFonts w:hint="eastAsia" w:ascii="宋体" w:hAnsi="宋体" w:eastAsia="宋体" w:cs="宋体"/>
                <w:sz w:val="24"/>
                <w:szCs w:val="24"/>
                <w:lang w:val="en-US" w:eastAsia="zh-CN"/>
              </w:rPr>
              <w:t>1</w:t>
            </w:r>
            <w:r>
              <w:rPr>
                <w:rFonts w:hint="eastAsia" w:ascii="宋体" w:hAnsi="宋体" w:eastAsia="宋体" w:cs="宋体"/>
                <w:sz w:val="24"/>
                <w:szCs w:val="24"/>
              </w:rPr>
              <w:t>个</w:t>
            </w:r>
          </w:p>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移动电源</w:t>
            </w:r>
            <w:r>
              <w:rPr>
                <w:rFonts w:hint="eastAsia" w:ascii="宋体" w:hAnsi="宋体" w:eastAsia="宋体" w:cs="宋体"/>
                <w:sz w:val="24"/>
                <w:szCs w:val="24"/>
                <w:lang w:val="en-US" w:eastAsia="zh-CN"/>
              </w:rPr>
              <w:t>1</w:t>
            </w:r>
            <w:r>
              <w:rPr>
                <w:rFonts w:hint="eastAsia" w:ascii="宋体" w:hAnsi="宋体" w:eastAsia="宋体" w:cs="宋体"/>
                <w:sz w:val="24"/>
                <w:szCs w:val="24"/>
              </w:rPr>
              <w:t>个</w:t>
            </w:r>
          </w:p>
        </w:tc>
        <w:tc>
          <w:tcPr>
            <w:tcW w:w="477"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租赁</w:t>
            </w:r>
          </w:p>
        </w:tc>
        <w:tc>
          <w:tcPr>
            <w:tcW w:w="388"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bCs/>
                <w:kern w:val="0"/>
                <w:sz w:val="24"/>
                <w:szCs w:val="24"/>
                <w:lang w:val="en-US" w:eastAsia="zh-CN" w:bidi="ar-SA"/>
              </w:rPr>
            </w:pPr>
            <w:r>
              <w:rPr>
                <w:rFonts w:hint="eastAsia" w:ascii="宋体" w:hAnsi="宋体" w:eastAsia="宋体" w:cs="宋体"/>
                <w:sz w:val="24"/>
                <w:szCs w:val="24"/>
              </w:rPr>
              <w:t>组</w:t>
            </w:r>
          </w:p>
        </w:tc>
        <w:tc>
          <w:tcPr>
            <w:tcW w:w="433"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若干</w:t>
            </w:r>
          </w:p>
        </w:tc>
        <w:tc>
          <w:tcPr>
            <w:tcW w:w="387"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7天</w:t>
            </w:r>
          </w:p>
        </w:tc>
      </w:tr>
      <w:tr>
        <w:tblPrEx>
          <w:tblCellMar>
            <w:top w:w="0" w:type="dxa"/>
            <w:left w:w="108" w:type="dxa"/>
            <w:bottom w:w="0" w:type="dxa"/>
            <w:right w:w="108" w:type="dxa"/>
          </w:tblCellMar>
        </w:tblPrEx>
        <w:trPr>
          <w:trHeight w:val="600" w:hRule="atLeast"/>
        </w:trPr>
        <w:tc>
          <w:tcPr>
            <w:tcW w:w="509" w:type="pct"/>
            <w:tcBorders>
              <w:top w:val="single" w:color="auto" w:sz="4" w:space="0"/>
              <w:left w:val="single" w:color="auto" w:sz="8" w:space="0"/>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859"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服装道具</w:t>
            </w:r>
          </w:p>
        </w:tc>
        <w:tc>
          <w:tcPr>
            <w:tcW w:w="1944"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演员服装</w:t>
            </w:r>
            <w:r>
              <w:rPr>
                <w:rFonts w:hint="eastAsia" w:ascii="宋体" w:hAnsi="宋体" w:eastAsia="宋体" w:cs="宋体"/>
                <w:sz w:val="24"/>
                <w:szCs w:val="24"/>
                <w:lang w:val="en-US" w:eastAsia="zh-CN"/>
              </w:rPr>
              <w:t>1</w:t>
            </w:r>
            <w:r>
              <w:rPr>
                <w:rFonts w:hint="eastAsia" w:ascii="宋体" w:hAnsi="宋体" w:eastAsia="宋体" w:cs="宋体"/>
                <w:sz w:val="24"/>
                <w:szCs w:val="24"/>
              </w:rPr>
              <w:t>套</w:t>
            </w:r>
          </w:p>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化妆箱1组</w:t>
            </w:r>
          </w:p>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基础道具1组</w:t>
            </w:r>
          </w:p>
        </w:tc>
        <w:tc>
          <w:tcPr>
            <w:tcW w:w="477"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租赁</w:t>
            </w:r>
          </w:p>
        </w:tc>
        <w:tc>
          <w:tcPr>
            <w:tcW w:w="388"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bCs/>
                <w:kern w:val="0"/>
                <w:sz w:val="24"/>
                <w:szCs w:val="24"/>
                <w:lang w:val="en-US" w:eastAsia="zh-CN" w:bidi="ar-SA"/>
              </w:rPr>
            </w:pPr>
            <w:r>
              <w:rPr>
                <w:rFonts w:hint="eastAsia" w:ascii="宋体" w:hAnsi="宋体" w:eastAsia="宋体" w:cs="宋体"/>
                <w:sz w:val="24"/>
                <w:szCs w:val="24"/>
              </w:rPr>
              <w:t>组</w:t>
            </w:r>
          </w:p>
        </w:tc>
        <w:tc>
          <w:tcPr>
            <w:tcW w:w="433"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若干</w:t>
            </w:r>
          </w:p>
        </w:tc>
        <w:tc>
          <w:tcPr>
            <w:tcW w:w="387"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7天</w:t>
            </w:r>
          </w:p>
        </w:tc>
      </w:tr>
      <w:tr>
        <w:tblPrEx>
          <w:tblCellMar>
            <w:top w:w="0" w:type="dxa"/>
            <w:left w:w="108" w:type="dxa"/>
            <w:bottom w:w="0" w:type="dxa"/>
            <w:right w:w="108" w:type="dxa"/>
          </w:tblCellMar>
        </w:tblPrEx>
        <w:trPr>
          <w:trHeight w:val="600" w:hRule="atLeast"/>
        </w:trPr>
        <w:tc>
          <w:tcPr>
            <w:tcW w:w="509" w:type="pct"/>
            <w:tcBorders>
              <w:top w:val="single" w:color="auto" w:sz="4" w:space="0"/>
              <w:left w:val="single" w:color="auto" w:sz="8" w:space="0"/>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p>
        </w:tc>
        <w:tc>
          <w:tcPr>
            <w:tcW w:w="859"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导游协调</w:t>
            </w:r>
          </w:p>
        </w:tc>
        <w:tc>
          <w:tcPr>
            <w:tcW w:w="1944"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both"/>
              <w:rPr>
                <w:rFonts w:hint="eastAsia" w:ascii="宋体" w:hAnsi="宋体" w:eastAsia="宋体" w:cs="宋体"/>
                <w:sz w:val="24"/>
                <w:szCs w:val="24"/>
              </w:rPr>
            </w:pPr>
            <w:r>
              <w:rPr>
                <w:rFonts w:hint="eastAsia" w:ascii="宋体" w:hAnsi="宋体" w:eastAsia="宋体" w:cs="宋体"/>
                <w:sz w:val="24"/>
                <w:szCs w:val="24"/>
              </w:rPr>
              <w:t>当地导游陪同带路，协调当地相关事宜</w:t>
            </w:r>
          </w:p>
        </w:tc>
        <w:tc>
          <w:tcPr>
            <w:tcW w:w="477"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p>
        </w:tc>
        <w:tc>
          <w:tcPr>
            <w:tcW w:w="388"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bCs/>
                <w:kern w:val="0"/>
                <w:sz w:val="24"/>
                <w:szCs w:val="24"/>
                <w:lang w:val="en-US" w:eastAsia="zh-CN" w:bidi="ar-SA"/>
              </w:rPr>
            </w:pPr>
            <w:r>
              <w:rPr>
                <w:rFonts w:hint="eastAsia" w:ascii="宋体" w:hAnsi="宋体" w:eastAsia="宋体" w:cs="宋体"/>
                <w:sz w:val="24"/>
                <w:szCs w:val="24"/>
              </w:rPr>
              <w:t>天</w:t>
            </w:r>
          </w:p>
        </w:tc>
        <w:tc>
          <w:tcPr>
            <w:tcW w:w="433"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p>
        </w:tc>
        <w:tc>
          <w:tcPr>
            <w:tcW w:w="387" w:type="pct"/>
            <w:tcBorders>
              <w:top w:val="single" w:color="auto" w:sz="4" w:space="0"/>
              <w:left w:val="nil"/>
              <w:bottom w:val="single" w:color="auto" w:sz="4" w:space="0"/>
              <w:right w:val="single" w:color="auto" w:sz="4" w:space="0"/>
            </w:tcBorders>
            <w:shd w:val="clear" w:color="000000" w:fill="auto"/>
            <w:vAlign w:val="center"/>
          </w:tcPr>
          <w:p>
            <w:pPr>
              <w:pStyle w:val="179"/>
              <w:keepNext w:val="0"/>
              <w:keepLines w:val="0"/>
              <w:suppressLineNumbers w:val="0"/>
              <w:spacing w:before="0" w:beforeAutospacing="0" w:after="0" w:afterAutospacing="0"/>
              <w:ind w:left="0" w:right="0" w:firstLine="0" w:firstLineChars="0"/>
              <w:jc w:val="center"/>
              <w:rPr>
                <w:rFonts w:hint="eastAsia" w:ascii="宋体" w:hAnsi="宋体" w:eastAsia="宋体" w:cs="宋体"/>
                <w:sz w:val="24"/>
                <w:szCs w:val="24"/>
              </w:rPr>
            </w:pPr>
            <w:r>
              <w:rPr>
                <w:rFonts w:hint="eastAsia" w:ascii="宋体" w:hAnsi="宋体" w:eastAsia="宋体" w:cs="宋体"/>
                <w:sz w:val="24"/>
                <w:szCs w:val="24"/>
              </w:rPr>
              <w:t>7</w:t>
            </w:r>
          </w:p>
        </w:tc>
      </w:tr>
    </w:tbl>
    <w:p>
      <w:pPr>
        <w:pStyle w:val="6"/>
        <w:bidi w:val="0"/>
        <w:rPr>
          <w:rFonts w:hint="eastAsia"/>
          <w:lang w:val="en-US" w:eastAsia="zh-CN"/>
        </w:rPr>
      </w:pPr>
      <w:bookmarkStart w:id="435" w:name="_Toc84376197"/>
      <w:r>
        <w:rPr>
          <w:rFonts w:hint="eastAsia"/>
          <w:lang w:val="en-US" w:eastAsia="zh-CN"/>
        </w:rPr>
        <w:t>产出形式</w:t>
      </w:r>
      <w:bookmarkEnd w:id="435"/>
    </w:p>
    <w:p>
      <w:pPr>
        <w:pStyle w:val="179"/>
        <w:numPr>
          <w:ilvl w:val="0"/>
          <w:numId w:val="0"/>
        </w:numPr>
        <w:spacing w:line="360" w:lineRule="auto"/>
        <w:ind w:left="6" w:leftChars="0" w:firstLine="480" w:firstLineChars="200"/>
        <w:rPr>
          <w:rFonts w:hint="eastAsia" w:ascii="宋体" w:hAnsi="宋体" w:eastAsia="宋体" w:cs="宋体"/>
          <w:sz w:val="24"/>
          <w:szCs w:val="24"/>
        </w:rPr>
      </w:pPr>
      <w:r>
        <w:rPr>
          <w:rFonts w:hint="eastAsia" w:ascii="宋体" w:hAnsi="宋体" w:eastAsia="宋体" w:cs="宋体"/>
          <w:sz w:val="24"/>
          <w:szCs w:val="24"/>
        </w:rPr>
        <w:t>总共1000条短视频，每月约</w:t>
      </w:r>
      <w:r>
        <w:rPr>
          <w:rFonts w:hint="eastAsia" w:ascii="宋体" w:hAnsi="宋体" w:cs="宋体"/>
          <w:sz w:val="24"/>
          <w:szCs w:val="24"/>
          <w:lang w:val="en-US" w:eastAsia="zh-CN"/>
        </w:rPr>
        <w:t>8</w:t>
      </w:r>
      <w:r>
        <w:rPr>
          <w:rFonts w:hint="eastAsia" w:ascii="宋体" w:hAnsi="宋体" w:eastAsia="宋体" w:cs="宋体"/>
          <w:sz w:val="24"/>
          <w:szCs w:val="24"/>
        </w:rPr>
        <w:t>0条；</w:t>
      </w:r>
    </w:p>
    <w:p>
      <w:pPr>
        <w:pStyle w:val="179"/>
        <w:numPr>
          <w:ilvl w:val="0"/>
          <w:numId w:val="0"/>
        </w:numPr>
        <w:spacing w:line="360" w:lineRule="auto"/>
        <w:ind w:left="6" w:leftChars="0" w:firstLine="480" w:firstLineChars="200"/>
        <w:rPr>
          <w:rFonts w:hint="eastAsia" w:ascii="宋体" w:hAnsi="宋体" w:eastAsia="宋体" w:cs="宋体"/>
          <w:sz w:val="24"/>
          <w:szCs w:val="24"/>
        </w:rPr>
      </w:pPr>
      <w:r>
        <w:rPr>
          <w:rFonts w:hint="eastAsia" w:ascii="宋体" w:hAnsi="宋体" w:eastAsia="宋体" w:cs="宋体"/>
          <w:sz w:val="24"/>
          <w:szCs w:val="24"/>
        </w:rPr>
        <w:t>每月向主流视频平台推送和平县各类短视频。</w:t>
      </w:r>
    </w:p>
    <w:p>
      <w:pPr>
        <w:pStyle w:val="4"/>
        <w:tabs>
          <w:tab w:val="left" w:pos="720"/>
        </w:tabs>
        <w:bidi w:val="0"/>
        <w:rPr>
          <w:rFonts w:hint="eastAsia"/>
          <w:lang w:val="en-US" w:eastAsia="zh-CN"/>
        </w:rPr>
      </w:pPr>
      <w:bookmarkStart w:id="436" w:name="_Toc20491"/>
      <w:bookmarkStart w:id="437" w:name="_Toc11285"/>
      <w:r>
        <w:rPr>
          <w:rFonts w:hint="eastAsia"/>
          <w:lang w:val="en-US" w:eastAsia="zh-CN"/>
        </w:rPr>
        <w:t>电商运营维护</w:t>
      </w:r>
      <w:bookmarkEnd w:id="436"/>
      <w:bookmarkEnd w:id="437"/>
    </w:p>
    <w:p>
      <w:pPr>
        <w:pStyle w:val="5"/>
        <w:tabs>
          <w:tab w:val="left" w:pos="1080"/>
          <w:tab w:val="clear" w:pos="720"/>
        </w:tabs>
        <w:bidi w:val="0"/>
        <w:rPr>
          <w:rFonts w:hint="eastAsia"/>
          <w:lang w:val="en-US" w:eastAsia="zh-CN"/>
        </w:rPr>
      </w:pPr>
      <w:bookmarkStart w:id="438" w:name="_Toc1319"/>
      <w:r>
        <w:rPr>
          <w:rFonts w:hint="eastAsia"/>
          <w:lang w:val="en-US" w:eastAsia="zh-CN"/>
        </w:rPr>
        <w:t>维护内容</w:t>
      </w:r>
      <w:bookmarkEnd w:id="438"/>
    </w:p>
    <w:p>
      <w:pPr>
        <w:pStyle w:val="179"/>
        <w:ind w:firstLine="566"/>
        <w:rPr>
          <w:rFonts w:hint="eastAsia" w:ascii="宋体" w:hAnsi="宋体" w:eastAsia="宋体" w:cs="宋体"/>
          <w:sz w:val="24"/>
          <w:szCs w:val="24"/>
          <w:lang w:val="zh-Hans" w:eastAsia="zh-Hans"/>
        </w:rPr>
      </w:pPr>
      <w:r>
        <w:rPr>
          <w:rFonts w:hint="eastAsia" w:ascii="宋体" w:hAnsi="宋体" w:eastAsia="宋体" w:cs="宋体"/>
          <w:sz w:val="24"/>
          <w:szCs w:val="24"/>
          <w:lang w:val="zh-Hans" w:eastAsia="zh-CN"/>
        </w:rPr>
        <w:t>和平县</w:t>
      </w:r>
      <w:r>
        <w:rPr>
          <w:rFonts w:hint="eastAsia" w:ascii="宋体" w:hAnsi="宋体" w:eastAsia="宋体" w:cs="宋体"/>
          <w:sz w:val="24"/>
          <w:szCs w:val="24"/>
          <w:lang w:val="en-US" w:eastAsia="zh-CN"/>
        </w:rPr>
        <w:t>191个电商站点的建成，充分的</w:t>
      </w:r>
      <w:r>
        <w:rPr>
          <w:rFonts w:hint="eastAsia" w:ascii="宋体" w:hAnsi="宋体" w:eastAsia="宋体" w:cs="宋体"/>
          <w:sz w:val="24"/>
          <w:szCs w:val="24"/>
          <w:lang w:val="zh-Hans" w:eastAsia="zh-Hans"/>
        </w:rPr>
        <w:t>引导农民认识和利用电子商务，帮助传统企业和农民专业合作社转型发展电子商务，促进我县农产品开拓市场，能围绕农村网络消费需要实现网销网购、金融服务等功能。帮助特色农产品商户开设网店，入驻网络销售平台，通过电子商务运营平台，为特色农产品经营户提供货源组织、收购、订单处理、产品包装、包裹寄递等增值服务。为农民提供在村购物、售物、缴费等一站式服务，让广大农民享受电子商务带来的红利。</w:t>
      </w:r>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镇村电商服务站点维护管理包括对全县191个电商站点的建设运营、日常业务、带动贫困户效益等情况进行了全面摸排，对现有电子设备、制度牌、门头的维修和维护整改。要求各站点要进一步拓展农产品上行销售能力，帮助贫困户开展农产品代销业务，并与贫困户建立长期的利益联结机制，帮扶、带动贫困户增收，对运营不理想的服务站点进行更换，同时开展1对1新业务的嫁接、技术培训等。</w:t>
      </w:r>
    </w:p>
    <w:p>
      <w:pPr>
        <w:pStyle w:val="5"/>
        <w:tabs>
          <w:tab w:val="left" w:pos="1080"/>
          <w:tab w:val="clear" w:pos="720"/>
        </w:tabs>
        <w:bidi w:val="0"/>
        <w:rPr>
          <w:rFonts w:hint="eastAsia"/>
          <w:lang w:val="en-US" w:eastAsia="zh-CN"/>
        </w:rPr>
      </w:pPr>
      <w:bookmarkStart w:id="439" w:name="_Toc2159"/>
      <w:r>
        <w:rPr>
          <w:rFonts w:hint="eastAsia"/>
          <w:lang w:val="en-US" w:eastAsia="zh-CN"/>
        </w:rPr>
        <w:t>预期效果</w:t>
      </w:r>
      <w:bookmarkEnd w:id="439"/>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日常对系统维护有助于和平县内各服务站点能有条不紊地发挥其作用，不间断地从农民手中收购优质的农产品，同时帮助村民购买到所需的日常用品，真正的让农产品出城，工业品下乡；</w:t>
      </w:r>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定期对站点工作人员的跟踪培训，有利于工作人员更加清楚地理解并发挥服务站点的作用，让农民增收。</w:t>
      </w:r>
    </w:p>
    <w:p>
      <w:pPr>
        <w:pStyle w:val="5"/>
        <w:tabs>
          <w:tab w:val="left" w:pos="1080"/>
          <w:tab w:val="clear" w:pos="720"/>
        </w:tabs>
        <w:bidi w:val="0"/>
        <w:rPr>
          <w:rFonts w:hint="eastAsia"/>
          <w:lang w:val="en-US" w:eastAsia="zh-CN"/>
        </w:rPr>
      </w:pPr>
      <w:bookmarkStart w:id="440" w:name="_Toc10513"/>
      <w:r>
        <w:rPr>
          <w:rFonts w:hint="eastAsia"/>
          <w:lang w:val="en-US" w:eastAsia="zh-CN"/>
        </w:rPr>
        <w:t>电子商务服务站主要职责</w:t>
      </w:r>
      <w:bookmarkEnd w:id="440"/>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a.在经营服务活动中应遵循公平、公正、公开，诚信经营的原则</w:t>
      </w:r>
      <w:r>
        <w:rPr>
          <w:rFonts w:hint="eastAsia" w:ascii="宋体" w:hAnsi="宋体" w:cs="宋体"/>
          <w:sz w:val="24"/>
          <w:szCs w:val="24"/>
          <w:lang w:val="en-US" w:eastAsia="zh-CN"/>
        </w:rPr>
        <w:t>；</w:t>
      </w:r>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b.定期向项目运营公司报送交易信息，包括交易笔数、交易金额、佣金、服务费等相关信息，并由项目运营公司定期向当地商务主管部门报送</w:t>
      </w:r>
      <w:r>
        <w:rPr>
          <w:rFonts w:hint="eastAsia" w:ascii="宋体" w:hAnsi="宋体" w:cs="宋体"/>
          <w:sz w:val="24"/>
          <w:szCs w:val="24"/>
          <w:lang w:val="en-US" w:eastAsia="zh-CN"/>
        </w:rPr>
        <w:t>；</w:t>
      </w:r>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c.建立日常网络安全管理、检查和维护制度，保证信息体系安全。</w:t>
      </w:r>
    </w:p>
    <w:p>
      <w:pPr>
        <w:pStyle w:val="5"/>
        <w:tabs>
          <w:tab w:val="left" w:pos="1080"/>
          <w:tab w:val="clear" w:pos="720"/>
        </w:tabs>
        <w:bidi w:val="0"/>
        <w:rPr>
          <w:rFonts w:hint="eastAsia"/>
          <w:lang w:val="en-US" w:eastAsia="zh-CN"/>
        </w:rPr>
      </w:pPr>
      <w:bookmarkStart w:id="441" w:name="_Toc1517"/>
      <w:bookmarkStart w:id="442" w:name="_Toc8902"/>
      <w:r>
        <w:rPr>
          <w:rFonts w:hint="eastAsia"/>
          <w:lang w:val="en-US" w:eastAsia="zh-CN"/>
        </w:rPr>
        <w:t>服务人员主要职责</w:t>
      </w:r>
      <w:bookmarkEnd w:id="441"/>
      <w:bookmarkEnd w:id="442"/>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a.向村民宣传农村电子商务服务站（点）的各项服务功能、宣传电子商务相关行业资讯、网络安全，培育农民网上购物、产品网上销售、网上购买服务等习惯。</w:t>
      </w:r>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b.为村民提供网上代购商品、代收代发快递服务。</w:t>
      </w:r>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c.协助村民解决有关购物过程产生的各种纠纷问题。</w:t>
      </w:r>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d.组织当地适销的农（副、特）产品、旅游资源，推荐给各个电子商务平台，帮助村民代售农（副、特）产品。</w:t>
      </w:r>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e.为村民提供电子商务平台已开通的各项便民服务，包括水、电、气、宽带、话费等基础项目的网上缴费和农村金融服务，以及车票酒店预定、就诊预约、本地资讯获取等服务。</w:t>
      </w:r>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f.组织当地青年群体参加网上创业就业学习培训、交流分享，营造氛围，培育人才，培育村网店，扶持村镇农副特产品开发，推动农村电子商务发展。</w:t>
      </w:r>
    </w:p>
    <w:p>
      <w:pPr>
        <w:pStyle w:val="179"/>
        <w:ind w:firstLine="56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g.按要求做好统计（交易、服务）台账，妥善保管提供相应的信息数据。</w:t>
      </w:r>
    </w:p>
    <w:p>
      <w:pPr>
        <w:pStyle w:val="179"/>
        <w:ind w:firstLine="566"/>
        <w:rPr>
          <w:rFonts w:hint="eastAsia"/>
          <w:lang w:val="en-US" w:eastAsia="zh-CN"/>
        </w:rPr>
      </w:pPr>
      <w:r>
        <w:rPr>
          <w:rFonts w:hint="eastAsia" w:ascii="宋体" w:hAnsi="宋体" w:eastAsia="宋体" w:cs="宋体"/>
          <w:sz w:val="24"/>
          <w:szCs w:val="24"/>
          <w:lang w:val="en-US" w:eastAsia="zh-CN"/>
        </w:rPr>
        <w:t>h.服务站（点）人员在为村民提供商品代购、产品代销及其他服务时，可根据运营单位的指导意见收取服务费用，收费标准应在服务站（点）的明显位置张贴。</w:t>
      </w:r>
    </w:p>
    <w:p>
      <w:pPr>
        <w:pStyle w:val="5"/>
        <w:tabs>
          <w:tab w:val="left" w:pos="1080"/>
          <w:tab w:val="clear" w:pos="720"/>
        </w:tabs>
        <w:bidi w:val="0"/>
        <w:rPr>
          <w:rFonts w:hint="eastAsia"/>
          <w:lang w:val="en-US" w:eastAsia="zh-CN"/>
        </w:rPr>
      </w:pPr>
      <w:bookmarkStart w:id="443" w:name="_Toc14465"/>
      <w:r>
        <w:rPr>
          <w:rFonts w:hint="eastAsia"/>
          <w:lang w:val="en-US" w:eastAsia="zh-CN"/>
        </w:rPr>
        <w:t>电商服务站点现有设备清单</w:t>
      </w:r>
      <w:bookmarkEnd w:id="443"/>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1677"/>
        <w:gridCol w:w="4133"/>
        <w:gridCol w:w="1090"/>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Theme="minorEastAsia"/>
                <w:spacing w:val="6"/>
                <w:sz w:val="21"/>
                <w:szCs w:val="21"/>
                <w:lang w:eastAsia="zh-CN"/>
              </w:rPr>
            </w:pPr>
            <w:r>
              <w:rPr>
                <w:rFonts w:hint="eastAsia" w:ascii="宋体" w:hAnsi="楷体" w:eastAsia="宋体" w:cs="宋体"/>
                <w:b/>
                <w:bCs/>
                <w:color w:val="000000"/>
                <w:sz w:val="21"/>
                <w:szCs w:val="21"/>
                <w:lang w:val="en-US" w:eastAsia="zh-CN"/>
              </w:rPr>
              <w:t>站点设备清单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495" w:type="pct"/>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宋体" w:hAnsi="楷体" w:eastAsia="宋体" w:cs="宋体"/>
                <w:b/>
                <w:bCs/>
                <w:color w:val="000000"/>
                <w:sz w:val="21"/>
                <w:szCs w:val="21"/>
                <w:lang w:val="en-US" w:eastAsia="zh-CN"/>
              </w:rPr>
            </w:pPr>
            <w:r>
              <w:rPr>
                <w:rFonts w:hint="eastAsia" w:ascii="宋体" w:hAnsi="楷体" w:eastAsia="宋体" w:cs="宋体"/>
                <w:b/>
                <w:bCs/>
                <w:color w:val="000000"/>
                <w:sz w:val="21"/>
                <w:szCs w:val="21"/>
                <w:lang w:val="en-US" w:eastAsia="zh-CN"/>
              </w:rPr>
              <w:t>序号</w:t>
            </w:r>
          </w:p>
        </w:tc>
        <w:tc>
          <w:tcPr>
            <w:tcW w:w="983" w:type="pct"/>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楷体" w:eastAsia="宋体" w:cs="宋体"/>
                <w:b/>
                <w:bCs/>
                <w:color w:val="000000"/>
                <w:sz w:val="21"/>
                <w:szCs w:val="21"/>
                <w:lang w:val="en-US" w:eastAsia="zh-CN"/>
              </w:rPr>
            </w:pPr>
            <w:r>
              <w:rPr>
                <w:rFonts w:hint="eastAsia" w:ascii="宋体" w:hAnsi="楷体" w:eastAsia="宋体" w:cs="宋体"/>
                <w:b/>
                <w:bCs/>
                <w:color w:val="000000"/>
                <w:sz w:val="21"/>
                <w:szCs w:val="21"/>
                <w:lang w:val="en-US" w:eastAsia="zh-CN"/>
              </w:rPr>
              <w:t>名称</w:t>
            </w:r>
          </w:p>
        </w:tc>
        <w:tc>
          <w:tcPr>
            <w:tcW w:w="2423" w:type="pct"/>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楷体" w:eastAsia="宋体" w:cs="宋体"/>
                <w:b/>
                <w:bCs/>
                <w:color w:val="000000"/>
                <w:sz w:val="21"/>
                <w:szCs w:val="21"/>
                <w:lang w:val="en-US" w:eastAsia="zh-CN"/>
              </w:rPr>
            </w:pPr>
            <w:r>
              <w:rPr>
                <w:rFonts w:hint="eastAsia" w:ascii="宋体" w:hAnsi="楷体" w:eastAsia="宋体" w:cs="宋体"/>
                <w:b/>
                <w:bCs/>
                <w:color w:val="000000"/>
                <w:sz w:val="21"/>
                <w:szCs w:val="21"/>
                <w:lang w:val="en-US" w:eastAsia="zh-CN"/>
              </w:rPr>
              <w:t>规格型号、主要技术参数</w:t>
            </w:r>
          </w:p>
        </w:tc>
        <w:tc>
          <w:tcPr>
            <w:tcW w:w="639" w:type="pct"/>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宋体" w:hAnsi="楷体" w:eastAsia="宋体" w:cs="宋体"/>
                <w:b/>
                <w:bCs/>
                <w:color w:val="000000"/>
                <w:sz w:val="21"/>
                <w:szCs w:val="21"/>
                <w:lang w:val="en-US" w:eastAsia="zh-CN"/>
              </w:rPr>
            </w:pPr>
            <w:r>
              <w:rPr>
                <w:rFonts w:hint="eastAsia" w:ascii="宋体" w:hAnsi="楷体" w:eastAsia="宋体" w:cs="宋体"/>
                <w:b/>
                <w:bCs/>
                <w:color w:val="000000"/>
                <w:sz w:val="21"/>
                <w:szCs w:val="21"/>
                <w:lang w:val="en-US" w:eastAsia="zh-CN"/>
              </w:rPr>
              <w:t>品牌</w:t>
            </w:r>
          </w:p>
        </w:tc>
        <w:tc>
          <w:tcPr>
            <w:tcW w:w="459" w:type="pct"/>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宋体" w:hAnsi="楷体" w:eastAsia="宋体" w:cs="宋体"/>
                <w:b/>
                <w:bCs/>
                <w:color w:val="000000"/>
                <w:sz w:val="21"/>
                <w:szCs w:val="21"/>
                <w:lang w:val="en-US" w:eastAsia="zh-CN"/>
              </w:rPr>
            </w:pPr>
            <w:r>
              <w:rPr>
                <w:rFonts w:hint="eastAsia" w:ascii="宋体" w:hAnsi="楷体" w:eastAsia="宋体" w:cs="宋体"/>
                <w:b/>
                <w:bCs/>
                <w:color w:val="000000"/>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98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电脑</w:t>
            </w:r>
          </w:p>
        </w:tc>
        <w:tc>
          <w:tcPr>
            <w:tcW w:w="24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处理器I5、主板：全固态版、内存：4G、硬盘：120G、机箱：SPCC钢材、显示器：20寸、有线鼠标键盘。</w:t>
            </w:r>
          </w:p>
        </w:tc>
        <w:tc>
          <w:tcPr>
            <w:tcW w:w="63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戴尔</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495"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p>
        </w:tc>
        <w:tc>
          <w:tcPr>
            <w:tcW w:w="98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电视</w:t>
            </w:r>
          </w:p>
        </w:tc>
        <w:tc>
          <w:tcPr>
            <w:tcW w:w="24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43寸智能网络电视机、产品类型：DLED、功率220V~50Hz100W、能效等级：三级、网络连接方式：有线/无线，</w:t>
            </w:r>
          </w:p>
        </w:tc>
        <w:tc>
          <w:tcPr>
            <w:tcW w:w="63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创维</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98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站点形象</w:t>
            </w:r>
          </w:p>
        </w:tc>
        <w:tc>
          <w:tcPr>
            <w:tcW w:w="24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rPr>
              <w:t>站点招牌广告、镇级站点名称、电商LOGO:约3平方，材质铝扣板，立体字；规章制度、服务项目、站点职能：每块60*80CM，KT板材质</w:t>
            </w:r>
          </w:p>
        </w:tc>
        <w:tc>
          <w:tcPr>
            <w:tcW w:w="63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定制</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495"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w:t>
            </w:r>
          </w:p>
        </w:tc>
        <w:tc>
          <w:tcPr>
            <w:tcW w:w="98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宣传物料</w:t>
            </w:r>
          </w:p>
        </w:tc>
        <w:tc>
          <w:tcPr>
            <w:tcW w:w="24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rPr>
              <w:t>站点内宣传物料设计、制作，材质采取：有机板丝印、</w:t>
            </w:r>
            <w:r>
              <w:rPr>
                <w:rFonts w:hint="eastAsia" w:ascii="宋体" w:hAnsi="宋体" w:eastAsia="宋体" w:cs="宋体"/>
                <w:kern w:val="0"/>
                <w:sz w:val="21"/>
                <w:szCs w:val="21"/>
              </w:rPr>
              <w:t>KT板、室内写真</w:t>
            </w:r>
          </w:p>
        </w:tc>
        <w:tc>
          <w:tcPr>
            <w:tcW w:w="63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定制</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95"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w:t>
            </w:r>
          </w:p>
        </w:tc>
        <w:tc>
          <w:tcPr>
            <w:tcW w:w="98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产品展示架</w:t>
            </w:r>
          </w:p>
        </w:tc>
        <w:tc>
          <w:tcPr>
            <w:tcW w:w="24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规格300CM*200CM*35CM</w:t>
            </w:r>
          </w:p>
        </w:tc>
        <w:tc>
          <w:tcPr>
            <w:tcW w:w="63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定制</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98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200万筒型网络摄像机</w:t>
            </w:r>
          </w:p>
        </w:tc>
        <w:tc>
          <w:tcPr>
            <w:tcW w:w="242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海康威视DS-2CD2T2XX-Y</w:t>
            </w:r>
          </w:p>
        </w:tc>
        <w:tc>
          <w:tcPr>
            <w:tcW w:w="63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海康威视</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r>
    </w:tbl>
    <w:p>
      <w:pPr>
        <w:pStyle w:val="5"/>
        <w:tabs>
          <w:tab w:val="left" w:pos="1080"/>
          <w:tab w:val="clear" w:pos="720"/>
        </w:tabs>
        <w:bidi w:val="0"/>
        <w:rPr>
          <w:rFonts w:hint="eastAsia"/>
          <w:lang w:val="en-US" w:eastAsia="zh-CN"/>
        </w:rPr>
      </w:pPr>
      <w:bookmarkStart w:id="444" w:name="_Toc29948"/>
      <w:r>
        <w:rPr>
          <w:rFonts w:hint="eastAsia"/>
          <w:lang w:val="en-US" w:eastAsia="zh-CN"/>
        </w:rPr>
        <w:t>维护费用的主要内容及明细</w:t>
      </w:r>
      <w:bookmarkEnd w:id="444"/>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603"/>
        <w:gridCol w:w="5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宋体" w:hAnsi="楷体" w:eastAsia="宋体" w:cs="宋体"/>
                <w:b/>
                <w:bCs/>
                <w:color w:val="000000"/>
                <w:sz w:val="21"/>
                <w:szCs w:val="21"/>
                <w:lang w:val="en-US" w:eastAsia="zh-CN"/>
              </w:rPr>
            </w:pPr>
            <w:r>
              <w:rPr>
                <w:rFonts w:hint="eastAsia" w:ascii="宋体" w:hAnsi="楷体" w:eastAsia="宋体" w:cs="宋体"/>
                <w:b/>
                <w:bCs/>
                <w:color w:val="000000"/>
                <w:sz w:val="21"/>
                <w:szCs w:val="21"/>
                <w:lang w:val="en-US" w:eastAsia="zh-CN"/>
              </w:rPr>
              <w:t>序号</w:t>
            </w:r>
          </w:p>
        </w:tc>
        <w:tc>
          <w:tcPr>
            <w:tcW w:w="940" w:type="pct"/>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楷体" w:eastAsia="宋体" w:cs="宋体"/>
                <w:b/>
                <w:bCs/>
                <w:color w:val="000000"/>
                <w:sz w:val="21"/>
                <w:szCs w:val="21"/>
                <w:lang w:val="en-US" w:eastAsia="zh-CN"/>
              </w:rPr>
            </w:pPr>
            <w:r>
              <w:rPr>
                <w:rFonts w:hint="eastAsia" w:ascii="宋体" w:hAnsi="楷体" w:eastAsia="宋体" w:cs="宋体"/>
                <w:b/>
                <w:bCs/>
                <w:color w:val="000000"/>
                <w:sz w:val="21"/>
                <w:szCs w:val="21"/>
                <w:lang w:val="en-US" w:eastAsia="zh-CN"/>
              </w:rPr>
              <w:t>类目</w:t>
            </w:r>
          </w:p>
        </w:tc>
        <w:tc>
          <w:tcPr>
            <w:tcW w:w="3508" w:type="pct"/>
            <w:shd w:val="clear" w:color="auto" w:fill="E7E6E6"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楷体" w:eastAsia="宋体" w:cs="宋体"/>
                <w:b/>
                <w:bCs/>
                <w:color w:val="000000"/>
                <w:sz w:val="21"/>
                <w:szCs w:val="21"/>
                <w:lang w:val="en-US" w:eastAsia="zh-CN"/>
              </w:rPr>
            </w:pPr>
            <w:r>
              <w:rPr>
                <w:rFonts w:hint="eastAsia" w:ascii="宋体" w:hAnsi="楷体" w:eastAsia="宋体" w:cs="宋体"/>
                <w:b/>
                <w:bCs/>
                <w:color w:val="000000"/>
                <w:sz w:val="21"/>
                <w:szCs w:val="21"/>
                <w:lang w:val="en-US" w:eastAsia="zh-CN"/>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55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94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全面排查</w:t>
            </w:r>
          </w:p>
        </w:tc>
        <w:tc>
          <w:tcPr>
            <w:tcW w:w="35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组织技术人员对电商站点进行全</w:t>
            </w:r>
            <w:r>
              <w:rPr>
                <w:rFonts w:hint="eastAsia" w:cs="宋体"/>
                <w:color w:val="000000"/>
                <w:kern w:val="0"/>
                <w:sz w:val="21"/>
                <w:szCs w:val="21"/>
                <w:lang w:val="en-US" w:eastAsia="zh-CN" w:bidi="ar"/>
              </w:rPr>
              <w:t>面</w:t>
            </w:r>
            <w:r>
              <w:rPr>
                <w:rFonts w:hint="eastAsia" w:ascii="宋体" w:hAnsi="宋体" w:eastAsia="宋体" w:cs="宋体"/>
                <w:color w:val="000000"/>
                <w:kern w:val="0"/>
                <w:sz w:val="21"/>
                <w:szCs w:val="21"/>
                <w:lang w:val="en-US" w:eastAsia="zh-CN" w:bidi="ar"/>
              </w:rPr>
              <w:t>排查，并对非硬件类设备进行维护，并对损坏的设备进行登记造册。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55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p>
        </w:tc>
        <w:tc>
          <w:tcPr>
            <w:tcW w:w="94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电子设备维修</w:t>
            </w:r>
          </w:p>
        </w:tc>
        <w:tc>
          <w:tcPr>
            <w:tcW w:w="35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组织技术人员对电商站点已损坏的硬件设施进行上门维修，具体按实际情况操作</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并做好维修记录。</w:t>
            </w:r>
            <w:r>
              <w:rPr>
                <w:rFonts w:hint="eastAsia" w:ascii="宋体" w:hAnsi="宋体" w:cs="宋体"/>
                <w:color w:val="000000"/>
                <w:kern w:val="0"/>
                <w:sz w:val="21"/>
                <w:szCs w:val="21"/>
                <w:lang w:val="en-US" w:eastAsia="zh-CN" w:bidi="ar"/>
              </w:rPr>
              <w:t>预计每年产生</w:t>
            </w:r>
            <w:r>
              <w:rPr>
                <w:rFonts w:hint="eastAsia" w:ascii="宋体" w:hAnsi="宋体" w:eastAsia="宋体" w:cs="宋体"/>
                <w:color w:val="000000"/>
                <w:kern w:val="0"/>
                <w:sz w:val="21"/>
                <w:szCs w:val="21"/>
                <w:lang w:val="en-US" w:eastAsia="zh-CN" w:bidi="ar"/>
              </w:rPr>
              <w:t>损坏硬件设施</w:t>
            </w:r>
            <w:r>
              <w:rPr>
                <w:rFonts w:hint="eastAsia" w:ascii="宋体" w:hAnsi="宋体" w:cs="宋体"/>
                <w:color w:val="000000"/>
                <w:kern w:val="0"/>
                <w:sz w:val="21"/>
                <w:szCs w:val="21"/>
                <w:lang w:val="en-US" w:eastAsia="zh-CN" w:bidi="ar"/>
              </w:rPr>
              <w:t>的站点为30家，上门维修费为80元/家（镇村站点大都是离县城比较远的地方），合计为：2400元；预计需要更换硬件的站点为30家，费用为每家250元，合计为：7500元，</w:t>
            </w:r>
            <w:r>
              <w:rPr>
                <w:rFonts w:hint="eastAsia" w:ascii="宋体" w:hAnsi="宋体" w:eastAsia="宋体" w:cs="宋体"/>
                <w:color w:val="000000"/>
                <w:kern w:val="0"/>
                <w:sz w:val="21"/>
                <w:szCs w:val="21"/>
                <w:lang w:val="en-US" w:eastAsia="zh-CN" w:bidi="ar"/>
              </w:rPr>
              <w:t>具体按实际情况操作</w:t>
            </w:r>
            <w:r>
              <w:rPr>
                <w:rFonts w:hint="eastAsia" w:ascii="宋体" w:hAnsi="宋体" w:cs="宋体"/>
                <w:color w:val="000000"/>
                <w:kern w:val="0"/>
                <w:sz w:val="21"/>
                <w:szCs w:val="21"/>
                <w:lang w:val="en-US" w:eastAsia="zh-CN" w:bidi="ar"/>
              </w:rPr>
              <w:t>，本年度有费用剩余，留作下年使用，多还少补。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94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广告宣传维护</w:t>
            </w:r>
          </w:p>
        </w:tc>
        <w:tc>
          <w:tcPr>
            <w:tcW w:w="35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对电商站点已损坏的店铺招牌、宣传物料进行上门维护及更换，具体按实际情况操作</w:t>
            </w:r>
            <w:r>
              <w:rPr>
                <w:rFonts w:hint="eastAsia" w:ascii="宋体" w:hAnsi="宋体" w:cs="宋体"/>
                <w:color w:val="000000"/>
                <w:kern w:val="0"/>
                <w:sz w:val="21"/>
                <w:szCs w:val="21"/>
                <w:lang w:val="en-US" w:eastAsia="zh-CN" w:bidi="ar"/>
              </w:rPr>
              <w:t>。预计每年需要更换招牌及宣传物料的站点为30家，根据</w:t>
            </w:r>
            <w:r>
              <w:rPr>
                <w:rFonts w:hint="eastAsia" w:cs="宋体"/>
                <w:color w:val="000000"/>
                <w:kern w:val="0"/>
                <w:sz w:val="21"/>
                <w:szCs w:val="21"/>
                <w:lang w:val="en-US" w:eastAsia="zh-CN" w:bidi="ar"/>
              </w:rPr>
              <w:t>前期</w:t>
            </w:r>
            <w:r>
              <w:rPr>
                <w:rFonts w:hint="eastAsia" w:ascii="宋体" w:hAnsi="宋体" w:cs="宋体"/>
                <w:color w:val="000000"/>
                <w:kern w:val="0"/>
                <w:sz w:val="21"/>
                <w:szCs w:val="21"/>
                <w:lang w:val="en-US" w:eastAsia="zh-CN" w:bidi="ar"/>
              </w:rPr>
              <w:t>项目</w:t>
            </w:r>
            <w:r>
              <w:rPr>
                <w:rFonts w:hint="eastAsia" w:cs="宋体"/>
                <w:color w:val="000000"/>
                <w:kern w:val="0"/>
                <w:sz w:val="21"/>
                <w:szCs w:val="21"/>
                <w:lang w:val="en-US" w:eastAsia="zh-CN" w:bidi="ar"/>
              </w:rPr>
              <w:t>评审</w:t>
            </w:r>
            <w:r>
              <w:rPr>
                <w:rFonts w:hint="eastAsia" w:ascii="宋体" w:hAnsi="宋体" w:cs="宋体"/>
                <w:color w:val="000000"/>
                <w:kern w:val="0"/>
                <w:sz w:val="21"/>
                <w:szCs w:val="21"/>
                <w:lang w:val="en-US" w:eastAsia="zh-CN" w:bidi="ar"/>
              </w:rPr>
              <w:t>的预算为3000元/家，合计为：90000元</w:t>
            </w:r>
            <w:r>
              <w:rPr>
                <w:rFonts w:hint="eastAsia" w:ascii="宋体" w:hAnsi="宋体" w:eastAsia="宋体" w:cs="宋体"/>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w:t>
            </w:r>
          </w:p>
        </w:tc>
        <w:tc>
          <w:tcPr>
            <w:tcW w:w="94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站点人员培训</w:t>
            </w:r>
          </w:p>
        </w:tc>
        <w:tc>
          <w:tcPr>
            <w:tcW w:w="350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对站点工作人员进行1对1的跟踪培训，有利于工作人员更加清楚地理解并发挥服务站点的作用。</w:t>
            </w:r>
          </w:p>
        </w:tc>
      </w:tr>
    </w:tbl>
    <w:p>
      <w:pPr>
        <w:pStyle w:val="5"/>
        <w:tabs>
          <w:tab w:val="left" w:pos="1080"/>
          <w:tab w:val="clear" w:pos="720"/>
        </w:tabs>
        <w:bidi w:val="0"/>
        <w:rPr>
          <w:rFonts w:hint="eastAsia"/>
          <w:lang w:val="en-US" w:eastAsia="zh-CN"/>
        </w:rPr>
      </w:pPr>
      <w:bookmarkStart w:id="445" w:name="_Toc29654"/>
      <w:r>
        <w:rPr>
          <w:rFonts w:hint="eastAsia"/>
          <w:lang w:val="en-US" w:eastAsia="zh-CN"/>
        </w:rPr>
        <w:t>维护地点</w:t>
      </w:r>
      <w:bookmarkEnd w:id="445"/>
    </w:p>
    <w:p>
      <w:pPr>
        <w:pageBreakBefore w:val="0"/>
        <w:kinsoku/>
        <w:wordWrap/>
        <w:overflowPunct/>
        <w:topLinePunct w:val="0"/>
        <w:bidi w:val="0"/>
        <w:spacing w:line="560" w:lineRule="atLeast"/>
        <w:ind w:firstLine="480" w:firstLineChars="200"/>
        <w:jc w:val="left"/>
        <w:rPr>
          <w:rFonts w:hint="default"/>
          <w:lang w:val="en-US" w:eastAsia="zh-CN"/>
        </w:rPr>
        <w:sectPr>
          <w:pgSz w:w="11906" w:h="16838"/>
          <w:pgMar w:top="1440" w:right="1797" w:bottom="1440" w:left="1797" w:header="1020" w:footer="992" w:gutter="0"/>
          <w:pgBorders>
            <w:top w:val="none" w:sz="0" w:space="0"/>
            <w:left w:val="none" w:sz="0" w:space="0"/>
            <w:bottom w:val="none" w:sz="0" w:space="0"/>
            <w:right w:val="none" w:sz="0" w:space="0"/>
          </w:pgBorders>
          <w:pgNumType w:fmt="decimal" w:start="1"/>
          <w:cols w:space="425" w:num="1"/>
          <w:docGrid w:type="lines" w:linePitch="326" w:charSpace="0"/>
        </w:sectPr>
      </w:pPr>
      <w:r>
        <w:rPr>
          <w:rFonts w:hint="eastAsia" w:ascii="Times New Roman" w:hAnsi="Times New Roman" w:eastAsia="宋体" w:cs="宋体"/>
          <w:bCs/>
          <w:color w:val="000000"/>
          <w:kern w:val="0"/>
          <w:sz w:val="24"/>
          <w:szCs w:val="28"/>
          <w:lang w:val="en-US" w:eastAsia="zh-CN" w:bidi="ar"/>
        </w:rPr>
        <w:t>和平县191个各镇村电商服务站</w:t>
      </w:r>
    </w:p>
    <w:p>
      <w:pPr>
        <w:ind w:left="0" w:leftChars="0" w:firstLine="0" w:firstLineChars="0"/>
        <w:rPr>
          <w:rFonts w:hint="eastAsia"/>
          <w:lang w:val="en-US" w:eastAsia="zh-CN"/>
        </w:rPr>
      </w:pPr>
    </w:p>
    <w:sectPr>
      <w:pgSz w:w="11906" w:h="16838"/>
      <w:pgMar w:top="1440" w:right="1797" w:bottom="1440" w:left="1797" w:header="1361" w:footer="992" w:gutter="0"/>
      <w:pgBorders>
        <w:top w:val="none" w:sz="0" w:space="0"/>
        <w:left w:val="none" w:sz="0" w:space="0"/>
        <w:bottom w:val="none" w:sz="0" w:space="0"/>
        <w:right w:val="none" w:sz="0" w:space="0"/>
      </w:pgBorders>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Cambria">
    <w:altName w:val="DejaVu Math TeX Gyre"/>
    <w:panose1 w:val="02040503050406030204"/>
    <w:charset w:val="00"/>
    <w:family w:val="roman"/>
    <w:pitch w:val="default"/>
    <w:sig w:usb0="00000000" w:usb1="00000000"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Times New Roman (正文 CS 字体)">
    <w:altName w:val="宋体"/>
    <w:panose1 w:val="020B0604020202020204"/>
    <w:charset w:val="86"/>
    <w:family w:val="roman"/>
    <w:pitch w:val="default"/>
    <w:sig w:usb0="00000000" w:usb1="00000000" w:usb2="00000000" w:usb3="00000000" w:csb0="00000000" w:csb1="00000000"/>
  </w:font>
  <w:font w:name="Times New Roman (标题 CS)">
    <w:altName w:val="宋体"/>
    <w:panose1 w:val="020B0604020202020204"/>
    <w:charset w:val="86"/>
    <w:family w:val="roman"/>
    <w:pitch w:val="default"/>
    <w:sig w:usb0="00000000" w:usb1="00000000" w:usb2="00000000" w:usb3="00000000" w:csb0="00000000" w:csb1="00000000"/>
  </w:font>
  <w:font w:name="MingLiU">
    <w:altName w:val="Microsoft JhengHei UI"/>
    <w:panose1 w:val="02020509000000000000"/>
    <w:charset w:val="88"/>
    <w:family w:val="moder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680"/>
        <w:tab w:val="clear" w:pos="9360"/>
      </w:tabs>
      <w:ind w:firstLine="480"/>
      <w:jc w:val="center"/>
      <w:rPr>
        <w:caps/>
        <w:color w:val="5B9BD5" w:themeColor="accent1"/>
        <w:sz w:val="21"/>
        <w:szCs w:val="21"/>
        <w14:textFill>
          <w14:solidFill>
            <w14:schemeClr w14:val="accent1"/>
          </w14:solidFill>
        </w14:textFill>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680"/>
        <w:tab w:val="clear" w:pos="9360"/>
      </w:tabs>
      <w:ind w:firstLine="480"/>
      <w:jc w:val="center"/>
      <w:rPr>
        <w:caps/>
        <w:color w:val="5B9BD5" w:themeColor="accent1"/>
        <w:sz w:val="21"/>
        <w:szCs w:val="21"/>
        <w14:textFill>
          <w14:solidFill>
            <w14:schemeClr w14:val="accent1"/>
          </w14:solidFill>
        </w14:textFill>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480"/>
      <w:jc w:val="center"/>
    </w:pPr>
    <w:r>
      <w:rPr>
        <w:sz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25"/>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pPr>
      <w:pStyle w:val="25"/>
      <w:ind w:firstLine="480"/>
      <w:jc w:val="center"/>
      <w:rPr>
        <w:color w:val="5B9BD5" w:themeColor="accent1"/>
        <w14:textFill>
          <w14:solidFill>
            <w14:schemeClr w14:val="accent1"/>
          </w14:solidFill>
        </w14:textFil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ind w:firstLine="0" w:firstLineChars="0"/>
      <w:jc w:val="left"/>
      <w:rPr>
        <w:szCs w:val="24"/>
      </w:rPr>
    </w:pPr>
    <w:r>
      <w:rPr>
        <w:rFonts w:hint="eastAsia"/>
        <w:szCs w:val="24"/>
      </w:rPr>
      <w:t xml:space="preserve"> </w:t>
    </w:r>
    <w:r>
      <w:rPr>
        <w:szCs w:val="24"/>
      </w:rPr>
      <w:t xml:space="preserve"> </w:t>
    </w:r>
  </w:p>
  <w:p>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ind w:firstLine="0" w:firstLineChars="0"/>
      <w:jc w:val="left"/>
      <w:rPr>
        <w:szCs w:val="24"/>
      </w:rPr>
    </w:pPr>
  </w:p>
  <w:p>
    <w:pPr>
      <w:pBdr>
        <w:bottom w:val="none" w:color="auto" w:sz="0" w:space="0"/>
      </w:pBd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pacing w:line="240" w:lineRule="auto"/>
      <w:ind w:firstLine="0" w:firstLineChars="0"/>
      <w:jc w:val="right"/>
      <w:rPr>
        <w:szCs w:val="24"/>
      </w:rPr>
    </w:pPr>
    <w:r>
      <w:rPr>
        <w:rFonts w:hint="eastAsia"/>
        <w:sz w:val="20"/>
        <w:szCs w:val="20"/>
      </w:rPr>
      <w:t>和平县电子商务农产品上行体系及乡村振兴</w:t>
    </w:r>
    <w:r>
      <w:rPr>
        <w:rFonts w:hint="eastAsia"/>
        <w:sz w:val="20"/>
        <w:szCs w:val="20"/>
        <w:lang w:val="en-US" w:eastAsia="zh-CN"/>
      </w:rPr>
      <w:t>产品</w:t>
    </w:r>
    <w:r>
      <w:rPr>
        <w:rFonts w:hint="eastAsia"/>
        <w:sz w:val="20"/>
        <w:szCs w:val="20"/>
      </w:rPr>
      <w:t>公共服务系统平台项目</w:t>
    </w:r>
    <w:r>
      <w:rPr>
        <w:rFonts w:hint="eastAsia"/>
        <w:szCs w:val="24"/>
      </w:rPr>
      <w:t xml:space="preserve"> </w:t>
    </w:r>
    <w:r>
      <w:rPr>
        <w:szCs w:val="24"/>
      </w:rPr>
      <w:t xml:space="preserve">   </w:t>
    </w:r>
  </w:p>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CC956"/>
    <w:multiLevelType w:val="singleLevel"/>
    <w:tmpl w:val="804CC956"/>
    <w:lvl w:ilvl="0" w:tentative="0">
      <w:start w:val="1"/>
      <w:numFmt w:val="bullet"/>
      <w:suff w:val="space"/>
      <w:lvlText w:val=""/>
      <w:lvlJc w:val="left"/>
      <w:pPr>
        <w:ind w:left="0" w:leftChars="0" w:firstLine="454" w:firstLineChars="0"/>
      </w:pPr>
      <w:rPr>
        <w:rFonts w:hint="default" w:ascii="Wingdings" w:hAnsi="Wingdings"/>
      </w:rPr>
    </w:lvl>
  </w:abstractNum>
  <w:abstractNum w:abstractNumId="1">
    <w:nsid w:val="8054E7D2"/>
    <w:multiLevelType w:val="singleLevel"/>
    <w:tmpl w:val="8054E7D2"/>
    <w:lvl w:ilvl="0" w:tentative="0">
      <w:start w:val="1"/>
      <w:numFmt w:val="chineseCounting"/>
      <w:suff w:val="nothing"/>
      <w:lvlText w:val="%1、"/>
      <w:lvlJc w:val="left"/>
      <w:pPr>
        <w:ind w:left="0" w:firstLine="420"/>
      </w:pPr>
      <w:rPr>
        <w:rFonts w:hint="eastAsia"/>
      </w:rPr>
    </w:lvl>
  </w:abstractNum>
  <w:abstractNum w:abstractNumId="2">
    <w:nsid w:val="93AAB6BC"/>
    <w:multiLevelType w:val="singleLevel"/>
    <w:tmpl w:val="93AAB6BC"/>
    <w:lvl w:ilvl="0" w:tentative="0">
      <w:start w:val="1"/>
      <w:numFmt w:val="decimal"/>
      <w:lvlText w:val="%1."/>
      <w:lvlJc w:val="left"/>
      <w:pPr>
        <w:ind w:left="905" w:hanging="425"/>
      </w:pPr>
      <w:rPr>
        <w:rFonts w:hint="default"/>
      </w:rPr>
    </w:lvl>
  </w:abstractNum>
  <w:abstractNum w:abstractNumId="3">
    <w:nsid w:val="949F4D83"/>
    <w:multiLevelType w:val="singleLevel"/>
    <w:tmpl w:val="949F4D83"/>
    <w:lvl w:ilvl="0" w:tentative="0">
      <w:start w:val="1"/>
      <w:numFmt w:val="chineseCounting"/>
      <w:suff w:val="nothing"/>
      <w:lvlText w:val="%1、"/>
      <w:lvlJc w:val="left"/>
      <w:pPr>
        <w:ind w:left="0" w:firstLine="454"/>
      </w:pPr>
      <w:rPr>
        <w:rFonts w:hint="eastAsia"/>
      </w:rPr>
    </w:lvl>
  </w:abstractNum>
  <w:abstractNum w:abstractNumId="4">
    <w:nsid w:val="99450A84"/>
    <w:multiLevelType w:val="singleLevel"/>
    <w:tmpl w:val="99450A84"/>
    <w:lvl w:ilvl="0" w:tentative="0">
      <w:start w:val="1"/>
      <w:numFmt w:val="chineseCounting"/>
      <w:suff w:val="nothing"/>
      <w:lvlText w:val="%1、"/>
      <w:lvlJc w:val="left"/>
      <w:pPr>
        <w:ind w:left="0" w:firstLine="454"/>
      </w:pPr>
      <w:rPr>
        <w:rFonts w:hint="eastAsia"/>
      </w:rPr>
    </w:lvl>
  </w:abstractNum>
  <w:abstractNum w:abstractNumId="5">
    <w:nsid w:val="9B98D419"/>
    <w:multiLevelType w:val="singleLevel"/>
    <w:tmpl w:val="9B98D419"/>
    <w:lvl w:ilvl="0" w:tentative="0">
      <w:start w:val="1"/>
      <w:numFmt w:val="chineseCounting"/>
      <w:suff w:val="nothing"/>
      <w:lvlText w:val="%1、"/>
      <w:lvlJc w:val="left"/>
      <w:pPr>
        <w:ind w:left="0" w:firstLine="454"/>
      </w:pPr>
      <w:rPr>
        <w:rFonts w:hint="eastAsia"/>
      </w:rPr>
    </w:lvl>
  </w:abstractNum>
  <w:abstractNum w:abstractNumId="6">
    <w:nsid w:val="9C1FF341"/>
    <w:multiLevelType w:val="singleLevel"/>
    <w:tmpl w:val="9C1FF341"/>
    <w:lvl w:ilvl="0" w:tentative="0">
      <w:start w:val="1"/>
      <w:numFmt w:val="chineseCounting"/>
      <w:suff w:val="nothing"/>
      <w:lvlText w:val="%1、"/>
      <w:lvlJc w:val="left"/>
      <w:pPr>
        <w:ind w:left="0" w:firstLine="454"/>
      </w:pPr>
      <w:rPr>
        <w:rFonts w:hint="eastAsia"/>
      </w:rPr>
    </w:lvl>
  </w:abstractNum>
  <w:abstractNum w:abstractNumId="7">
    <w:nsid w:val="A5FEA75D"/>
    <w:multiLevelType w:val="singleLevel"/>
    <w:tmpl w:val="A5FEA75D"/>
    <w:lvl w:ilvl="0" w:tentative="0">
      <w:start w:val="2"/>
      <w:numFmt w:val="decimal"/>
      <w:suff w:val="nothing"/>
      <w:lvlText w:val="%1、"/>
      <w:lvlJc w:val="left"/>
    </w:lvl>
  </w:abstractNum>
  <w:abstractNum w:abstractNumId="8">
    <w:nsid w:val="A6768BF5"/>
    <w:multiLevelType w:val="singleLevel"/>
    <w:tmpl w:val="A6768BF5"/>
    <w:lvl w:ilvl="0" w:tentative="0">
      <w:start w:val="1"/>
      <w:numFmt w:val="chineseCounting"/>
      <w:suff w:val="nothing"/>
      <w:lvlText w:val="%1、"/>
      <w:lvlJc w:val="left"/>
      <w:pPr>
        <w:ind w:left="0" w:firstLine="454"/>
      </w:pPr>
      <w:rPr>
        <w:rFonts w:hint="eastAsia"/>
      </w:rPr>
    </w:lvl>
  </w:abstractNum>
  <w:abstractNum w:abstractNumId="9">
    <w:nsid w:val="B52E50F2"/>
    <w:multiLevelType w:val="singleLevel"/>
    <w:tmpl w:val="B52E50F2"/>
    <w:lvl w:ilvl="0" w:tentative="0">
      <w:start w:val="1"/>
      <w:numFmt w:val="chineseCounting"/>
      <w:suff w:val="nothing"/>
      <w:lvlText w:val="%1、"/>
      <w:lvlJc w:val="left"/>
      <w:pPr>
        <w:ind w:left="0" w:firstLine="454"/>
      </w:pPr>
      <w:rPr>
        <w:rFonts w:hint="eastAsia"/>
      </w:rPr>
    </w:lvl>
  </w:abstractNum>
  <w:abstractNum w:abstractNumId="10">
    <w:nsid w:val="B6118CD4"/>
    <w:multiLevelType w:val="singleLevel"/>
    <w:tmpl w:val="B6118CD4"/>
    <w:lvl w:ilvl="0" w:tentative="0">
      <w:start w:val="1"/>
      <w:numFmt w:val="chineseCounting"/>
      <w:suff w:val="nothing"/>
      <w:lvlText w:val="%1、"/>
      <w:lvlJc w:val="left"/>
      <w:pPr>
        <w:ind w:left="0" w:firstLine="420"/>
      </w:pPr>
      <w:rPr>
        <w:rFonts w:hint="eastAsia"/>
      </w:rPr>
    </w:lvl>
  </w:abstractNum>
  <w:abstractNum w:abstractNumId="11">
    <w:nsid w:val="BA14BEA6"/>
    <w:multiLevelType w:val="singleLevel"/>
    <w:tmpl w:val="BA14BEA6"/>
    <w:lvl w:ilvl="0" w:tentative="0">
      <w:start w:val="1"/>
      <w:numFmt w:val="chineseCounting"/>
      <w:suff w:val="nothing"/>
      <w:lvlText w:val="（%1）"/>
      <w:lvlJc w:val="left"/>
      <w:rPr>
        <w:rFonts w:hint="eastAsia"/>
      </w:rPr>
    </w:lvl>
  </w:abstractNum>
  <w:abstractNum w:abstractNumId="12">
    <w:nsid w:val="BE89D4FF"/>
    <w:multiLevelType w:val="singleLevel"/>
    <w:tmpl w:val="BE89D4FF"/>
    <w:lvl w:ilvl="0" w:tentative="0">
      <w:start w:val="1"/>
      <w:numFmt w:val="bullet"/>
      <w:suff w:val="space"/>
      <w:lvlText w:val=""/>
      <w:lvlJc w:val="left"/>
      <w:pPr>
        <w:ind w:left="420" w:firstLine="34"/>
      </w:pPr>
      <w:rPr>
        <w:rFonts w:hint="default" w:ascii="Wingdings" w:hAnsi="Wingdings"/>
      </w:rPr>
    </w:lvl>
  </w:abstractNum>
  <w:abstractNum w:abstractNumId="13">
    <w:nsid w:val="C57EEF0D"/>
    <w:multiLevelType w:val="singleLevel"/>
    <w:tmpl w:val="C57EEF0D"/>
    <w:lvl w:ilvl="0" w:tentative="0">
      <w:start w:val="1"/>
      <w:numFmt w:val="chineseCounting"/>
      <w:suff w:val="nothing"/>
      <w:lvlText w:val="%1、"/>
      <w:lvlJc w:val="left"/>
      <w:pPr>
        <w:ind w:left="0" w:firstLine="454"/>
      </w:pPr>
      <w:rPr>
        <w:rFonts w:hint="eastAsia"/>
      </w:rPr>
    </w:lvl>
  </w:abstractNum>
  <w:abstractNum w:abstractNumId="14">
    <w:nsid w:val="CAAD3333"/>
    <w:multiLevelType w:val="singleLevel"/>
    <w:tmpl w:val="CAAD3333"/>
    <w:lvl w:ilvl="0" w:tentative="0">
      <w:start w:val="1"/>
      <w:numFmt w:val="chineseCounting"/>
      <w:suff w:val="nothing"/>
      <w:lvlText w:val="%1、"/>
      <w:lvlJc w:val="left"/>
      <w:pPr>
        <w:ind w:left="0" w:firstLine="454"/>
      </w:pPr>
      <w:rPr>
        <w:rFonts w:hint="eastAsia"/>
      </w:rPr>
    </w:lvl>
  </w:abstractNum>
  <w:abstractNum w:abstractNumId="15">
    <w:nsid w:val="CB6B00D0"/>
    <w:multiLevelType w:val="singleLevel"/>
    <w:tmpl w:val="CB6B00D0"/>
    <w:lvl w:ilvl="0" w:tentative="0">
      <w:start w:val="1"/>
      <w:numFmt w:val="chineseCounting"/>
      <w:suff w:val="nothing"/>
      <w:lvlText w:val="%1、"/>
      <w:lvlJc w:val="left"/>
      <w:pPr>
        <w:ind w:left="0" w:firstLine="454"/>
      </w:pPr>
      <w:rPr>
        <w:rFonts w:hint="eastAsia"/>
      </w:rPr>
    </w:lvl>
  </w:abstractNum>
  <w:abstractNum w:abstractNumId="16">
    <w:nsid w:val="CBBA4BCE"/>
    <w:multiLevelType w:val="singleLevel"/>
    <w:tmpl w:val="CBBA4BCE"/>
    <w:lvl w:ilvl="0" w:tentative="0">
      <w:start w:val="1"/>
      <w:numFmt w:val="decimal"/>
      <w:suff w:val="space"/>
      <w:lvlText w:val="%1."/>
      <w:lvlJc w:val="left"/>
      <w:pPr>
        <w:ind w:left="0" w:leftChars="0" w:firstLine="454" w:firstLineChars="0"/>
      </w:pPr>
      <w:rPr>
        <w:rFonts w:hint="default"/>
      </w:rPr>
    </w:lvl>
  </w:abstractNum>
  <w:abstractNum w:abstractNumId="17">
    <w:nsid w:val="D2A3C8AD"/>
    <w:multiLevelType w:val="singleLevel"/>
    <w:tmpl w:val="D2A3C8AD"/>
    <w:lvl w:ilvl="0" w:tentative="0">
      <w:start w:val="1"/>
      <w:numFmt w:val="chineseCounting"/>
      <w:suff w:val="nothing"/>
      <w:lvlText w:val="%1、"/>
      <w:lvlJc w:val="left"/>
      <w:pPr>
        <w:ind w:left="0" w:firstLine="454"/>
      </w:pPr>
      <w:rPr>
        <w:rFonts w:hint="eastAsia"/>
      </w:rPr>
    </w:lvl>
  </w:abstractNum>
  <w:abstractNum w:abstractNumId="18">
    <w:nsid w:val="D53EAFCC"/>
    <w:multiLevelType w:val="singleLevel"/>
    <w:tmpl w:val="D53EAFCC"/>
    <w:lvl w:ilvl="0" w:tentative="0">
      <w:start w:val="1"/>
      <w:numFmt w:val="decimal"/>
      <w:suff w:val="space"/>
      <w:lvlText w:val="%1."/>
      <w:lvlJc w:val="left"/>
      <w:pPr>
        <w:ind w:left="0" w:leftChars="0" w:firstLine="454" w:firstLineChars="0"/>
      </w:pPr>
      <w:rPr>
        <w:rFonts w:hint="default"/>
      </w:rPr>
    </w:lvl>
  </w:abstractNum>
  <w:abstractNum w:abstractNumId="19">
    <w:nsid w:val="E525A835"/>
    <w:multiLevelType w:val="singleLevel"/>
    <w:tmpl w:val="E525A835"/>
    <w:lvl w:ilvl="0" w:tentative="0">
      <w:start w:val="1"/>
      <w:numFmt w:val="decimal"/>
      <w:suff w:val="nothing"/>
      <w:lvlText w:val="（%1）"/>
      <w:lvlJc w:val="left"/>
    </w:lvl>
  </w:abstractNum>
  <w:abstractNum w:abstractNumId="20">
    <w:nsid w:val="E74C552F"/>
    <w:multiLevelType w:val="singleLevel"/>
    <w:tmpl w:val="E74C552F"/>
    <w:lvl w:ilvl="0" w:tentative="0">
      <w:start w:val="1"/>
      <w:numFmt w:val="decimal"/>
      <w:lvlText w:val="%1."/>
      <w:lvlJc w:val="left"/>
      <w:pPr>
        <w:ind w:left="905" w:hanging="425"/>
      </w:pPr>
      <w:rPr>
        <w:rFonts w:hint="default"/>
      </w:rPr>
    </w:lvl>
  </w:abstractNum>
  <w:abstractNum w:abstractNumId="21">
    <w:nsid w:val="F2A1502D"/>
    <w:multiLevelType w:val="multilevel"/>
    <w:tmpl w:val="F2A1502D"/>
    <w:lvl w:ilvl="0" w:tentative="0">
      <w:start w:val="1"/>
      <w:numFmt w:val="decimal"/>
      <w:pStyle w:val="145"/>
      <w:lvlText w:val="（%1）"/>
      <w:lvlJc w:val="left"/>
      <w:pPr>
        <w:ind w:left="0" w:leftChars="0" w:firstLine="454" w:firstLineChars="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F3DF9E29"/>
    <w:multiLevelType w:val="singleLevel"/>
    <w:tmpl w:val="F3DF9E29"/>
    <w:lvl w:ilvl="0" w:tentative="0">
      <w:start w:val="1"/>
      <w:numFmt w:val="decimal"/>
      <w:suff w:val="nothing"/>
      <w:lvlText w:val="%1、"/>
      <w:lvlJc w:val="left"/>
      <w:pPr>
        <w:ind w:firstLine="454"/>
      </w:pPr>
    </w:lvl>
  </w:abstractNum>
  <w:abstractNum w:abstractNumId="23">
    <w:nsid w:val="FBEBF669"/>
    <w:multiLevelType w:val="singleLevel"/>
    <w:tmpl w:val="FBEBF669"/>
    <w:lvl w:ilvl="0" w:tentative="0">
      <w:start w:val="1"/>
      <w:numFmt w:val="chineseCounting"/>
      <w:suff w:val="nothing"/>
      <w:lvlText w:val="%1、"/>
      <w:lvlJc w:val="left"/>
      <w:pPr>
        <w:ind w:left="0" w:firstLine="454"/>
      </w:pPr>
      <w:rPr>
        <w:rFonts w:hint="eastAsia"/>
      </w:rPr>
    </w:lvl>
  </w:abstractNum>
  <w:abstractNum w:abstractNumId="24">
    <w:nsid w:val="00000008"/>
    <w:multiLevelType w:val="multilevel"/>
    <w:tmpl w:val="00000008"/>
    <w:lvl w:ilvl="0" w:tentative="0">
      <w:start w:val="1"/>
      <w:numFmt w:val="decimal"/>
      <w:suff w:val="space"/>
      <w:lvlText w:val="%1."/>
      <w:lvlJc w:val="left"/>
      <w:pPr>
        <w:ind w:left="480" w:firstLine="0"/>
      </w:pPr>
      <w:rPr>
        <w:rFonts w:hint="default" w:ascii="Times New Roman" w:hAnsi="Times New Roman" w:cs="Times New Roman"/>
      </w:rPr>
    </w:lvl>
    <w:lvl w:ilvl="1" w:tentative="0">
      <w:start w:val="1"/>
      <w:numFmt w:val="bullet"/>
      <w:lvlText w:val="•"/>
      <w:lvlJc w:val="left"/>
      <w:pPr>
        <w:tabs>
          <w:tab w:val="left" w:pos="1753"/>
        </w:tabs>
        <w:ind w:left="1807" w:hanging="360"/>
      </w:pPr>
      <w:rPr>
        <w:rFonts w:hint="default" w:ascii="宋体" w:hAnsi="宋体"/>
      </w:rPr>
    </w:lvl>
    <w:lvl w:ilvl="2" w:tentative="0">
      <w:start w:val="1"/>
      <w:numFmt w:val="bullet"/>
      <w:lvlText w:val="•"/>
      <w:lvlJc w:val="left"/>
      <w:pPr>
        <w:tabs>
          <w:tab w:val="left" w:pos="2473"/>
        </w:tabs>
        <w:ind w:left="2527" w:hanging="360"/>
      </w:pPr>
      <w:rPr>
        <w:rFonts w:hint="default" w:ascii="宋体" w:hAnsi="宋体"/>
      </w:rPr>
    </w:lvl>
    <w:lvl w:ilvl="3" w:tentative="0">
      <w:start w:val="1"/>
      <w:numFmt w:val="bullet"/>
      <w:lvlText w:val="•"/>
      <w:lvlJc w:val="left"/>
      <w:pPr>
        <w:tabs>
          <w:tab w:val="left" w:pos="3193"/>
        </w:tabs>
        <w:ind w:left="3247" w:hanging="360"/>
      </w:pPr>
      <w:rPr>
        <w:rFonts w:hint="default" w:ascii="宋体" w:hAnsi="宋体"/>
      </w:rPr>
    </w:lvl>
    <w:lvl w:ilvl="4" w:tentative="0">
      <w:start w:val="1"/>
      <w:numFmt w:val="bullet"/>
      <w:lvlText w:val="•"/>
      <w:lvlJc w:val="left"/>
      <w:pPr>
        <w:tabs>
          <w:tab w:val="left" w:pos="3913"/>
        </w:tabs>
        <w:ind w:left="3967" w:hanging="360"/>
      </w:pPr>
      <w:rPr>
        <w:rFonts w:hint="default" w:ascii="宋体" w:hAnsi="宋体"/>
      </w:rPr>
    </w:lvl>
    <w:lvl w:ilvl="5" w:tentative="0">
      <w:start w:val="1"/>
      <w:numFmt w:val="bullet"/>
      <w:lvlText w:val="•"/>
      <w:lvlJc w:val="left"/>
      <w:pPr>
        <w:tabs>
          <w:tab w:val="left" w:pos="4633"/>
        </w:tabs>
        <w:ind w:left="4687" w:hanging="360"/>
      </w:pPr>
      <w:rPr>
        <w:rFonts w:hint="default" w:ascii="宋体" w:hAnsi="宋体"/>
      </w:rPr>
    </w:lvl>
    <w:lvl w:ilvl="6" w:tentative="0">
      <w:start w:val="1"/>
      <w:numFmt w:val="bullet"/>
      <w:lvlText w:val="•"/>
      <w:lvlJc w:val="left"/>
      <w:pPr>
        <w:tabs>
          <w:tab w:val="left" w:pos="5353"/>
        </w:tabs>
        <w:ind w:left="5407" w:hanging="360"/>
      </w:pPr>
      <w:rPr>
        <w:rFonts w:hint="default" w:ascii="宋体" w:hAnsi="宋体"/>
      </w:rPr>
    </w:lvl>
    <w:lvl w:ilvl="7" w:tentative="0">
      <w:start w:val="1"/>
      <w:numFmt w:val="bullet"/>
      <w:lvlText w:val="•"/>
      <w:lvlJc w:val="left"/>
      <w:pPr>
        <w:tabs>
          <w:tab w:val="left" w:pos="6073"/>
        </w:tabs>
        <w:ind w:left="6127" w:hanging="360"/>
      </w:pPr>
      <w:rPr>
        <w:rFonts w:hint="default" w:ascii="宋体" w:hAnsi="宋体"/>
      </w:rPr>
    </w:lvl>
    <w:lvl w:ilvl="8" w:tentative="0">
      <w:start w:val="1"/>
      <w:numFmt w:val="bullet"/>
      <w:lvlText w:val="•"/>
      <w:lvlJc w:val="left"/>
      <w:pPr>
        <w:tabs>
          <w:tab w:val="left" w:pos="6793"/>
        </w:tabs>
        <w:ind w:left="6847" w:hanging="360"/>
      </w:pPr>
      <w:rPr>
        <w:rFonts w:hint="default" w:ascii="宋体" w:hAnsi="宋体"/>
      </w:rPr>
    </w:lvl>
  </w:abstractNum>
  <w:abstractNum w:abstractNumId="25">
    <w:nsid w:val="00000010"/>
    <w:multiLevelType w:val="singleLevel"/>
    <w:tmpl w:val="00000010"/>
    <w:lvl w:ilvl="0" w:tentative="0">
      <w:start w:val="1"/>
      <w:numFmt w:val="decimal"/>
      <w:suff w:val="nothing"/>
      <w:lvlText w:val="（%1）"/>
      <w:lvlJc w:val="left"/>
      <w:pPr>
        <w:ind w:left="0" w:firstLine="420"/>
      </w:pPr>
      <w:rPr>
        <w:rFonts w:hint="default"/>
      </w:rPr>
    </w:lvl>
  </w:abstractNum>
  <w:abstractNum w:abstractNumId="26">
    <w:nsid w:val="06630BE4"/>
    <w:multiLevelType w:val="singleLevel"/>
    <w:tmpl w:val="06630BE4"/>
    <w:lvl w:ilvl="0" w:tentative="0">
      <w:start w:val="1"/>
      <w:numFmt w:val="chineseCounting"/>
      <w:suff w:val="nothing"/>
      <w:lvlText w:val="%1、"/>
      <w:lvlJc w:val="left"/>
      <w:pPr>
        <w:ind w:left="0" w:firstLine="454"/>
      </w:pPr>
      <w:rPr>
        <w:rFonts w:hint="eastAsia"/>
      </w:rPr>
    </w:lvl>
  </w:abstractNum>
  <w:abstractNum w:abstractNumId="27">
    <w:nsid w:val="0A4A6508"/>
    <w:multiLevelType w:val="multilevel"/>
    <w:tmpl w:val="0A4A650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1CB39FF"/>
    <w:multiLevelType w:val="multilevel"/>
    <w:tmpl w:val="11CB39F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127A73BD"/>
    <w:multiLevelType w:val="multilevel"/>
    <w:tmpl w:val="127A73B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18A0955E"/>
    <w:multiLevelType w:val="singleLevel"/>
    <w:tmpl w:val="18A0955E"/>
    <w:lvl w:ilvl="0" w:tentative="0">
      <w:start w:val="1"/>
      <w:numFmt w:val="decimal"/>
      <w:suff w:val="space"/>
      <w:lvlText w:val="%1."/>
      <w:lvlJc w:val="left"/>
      <w:pPr>
        <w:ind w:left="0" w:leftChars="0" w:firstLine="454" w:firstLineChars="0"/>
      </w:pPr>
      <w:rPr>
        <w:rFonts w:hint="default"/>
      </w:rPr>
    </w:lvl>
  </w:abstractNum>
  <w:abstractNum w:abstractNumId="31">
    <w:nsid w:val="1B0C5173"/>
    <w:multiLevelType w:val="multilevel"/>
    <w:tmpl w:val="1B0C517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1C8C3610"/>
    <w:multiLevelType w:val="singleLevel"/>
    <w:tmpl w:val="1C8C3610"/>
    <w:lvl w:ilvl="0" w:tentative="0">
      <w:start w:val="1"/>
      <w:numFmt w:val="decimal"/>
      <w:suff w:val="nothing"/>
      <w:lvlText w:val="%1、"/>
      <w:lvlJc w:val="left"/>
    </w:lvl>
  </w:abstractNum>
  <w:abstractNum w:abstractNumId="33">
    <w:nsid w:val="1F9D942D"/>
    <w:multiLevelType w:val="multilevel"/>
    <w:tmpl w:val="1F9D942D"/>
    <w:lvl w:ilvl="0" w:tentative="0">
      <w:start w:val="1"/>
      <w:numFmt w:val="decimal"/>
      <w:pStyle w:val="3"/>
      <w:suff w:val="nothing"/>
      <w:lvlText w:val="第%1章 "/>
      <w:lvlJc w:val="left"/>
      <w:pPr>
        <w:ind w:left="432" w:hanging="432"/>
      </w:pPr>
      <w:rPr>
        <w:rFonts w:hint="eastAsia"/>
      </w:rPr>
    </w:lvl>
    <w:lvl w:ilvl="1" w:tentative="0">
      <w:start w:val="1"/>
      <w:numFmt w:val="decimal"/>
      <w:pStyle w:val="4"/>
      <w:isLgl/>
      <w:suff w:val="space"/>
      <w:lvlText w:val="%1.%2."/>
      <w:lvlJc w:val="left"/>
      <w:pPr>
        <w:ind w:left="575" w:hanging="575"/>
      </w:pPr>
      <w:rPr>
        <w:rFonts w:hint="eastAsia"/>
      </w:rPr>
    </w:lvl>
    <w:lvl w:ilvl="2" w:tentative="0">
      <w:start w:val="1"/>
      <w:numFmt w:val="decimal"/>
      <w:pStyle w:val="5"/>
      <w:isLgl/>
      <w:suff w:val="space"/>
      <w:lvlText w:val="%1.%2.%3."/>
      <w:lvlJc w:val="left"/>
      <w:pPr>
        <w:ind w:left="2552" w:firstLine="0"/>
      </w:pPr>
      <w:rPr>
        <w:rFonts w:hint="eastAsia" w:ascii="黑体" w:hAnsi="黑体" w:eastAsia="黑体"/>
        <w:b w:val="0"/>
        <w:bCs w:val="0"/>
      </w:rPr>
    </w:lvl>
    <w:lvl w:ilvl="3" w:tentative="0">
      <w:start w:val="1"/>
      <w:numFmt w:val="decimal"/>
      <w:pStyle w:val="6"/>
      <w:isLgl/>
      <w:suff w:val="space"/>
      <w:lvlText w:val="%1.%2.%3.%4."/>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pStyle w:val="7"/>
      <w:isLgl/>
      <w:suff w:val="space"/>
      <w:lvlText w:val="%1.%2.%3.%4.%5."/>
      <w:lvlJc w:val="left"/>
      <w:pPr>
        <w:ind w:left="0" w:firstLine="0"/>
      </w:pPr>
      <w:rPr>
        <w:rFonts w:hint="eastAsia" w:ascii="黑体" w:hAnsi="黑体" w:eastAsia="黑体"/>
      </w:rPr>
    </w:lvl>
    <w:lvl w:ilvl="5" w:tentative="0">
      <w:start w:val="1"/>
      <w:numFmt w:val="decimal"/>
      <w:pStyle w:val="8"/>
      <w:isLgl/>
      <w:suff w:val="space"/>
      <w:lvlText w:val="%1.%2.%3.%4.%5.%6."/>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pStyle w:val="9"/>
      <w:isLgl/>
      <w:suff w:val="space"/>
      <w:lvlText w:val="%1.%2.%3.%4.%5.%6.%7."/>
      <w:lvlJc w:val="left"/>
      <w:pPr>
        <w:ind w:left="1296" w:hanging="1296"/>
      </w:pPr>
      <w:rPr>
        <w:rFonts w:hint="eastAsia" w:ascii="黑体" w:hAnsi="黑体" w:eastAsia="黑体"/>
      </w:rPr>
    </w:lvl>
    <w:lvl w:ilvl="7" w:tentative="0">
      <w:start w:val="1"/>
      <w:numFmt w:val="decimal"/>
      <w:pStyle w:val="10"/>
      <w:isLgl/>
      <w:suff w:val="space"/>
      <w:lvlText w:val="%1.%2.%3.%4.%5.%6.%7.%8."/>
      <w:lvlJc w:val="left"/>
      <w:pPr>
        <w:ind w:left="0" w:firstLine="0"/>
      </w:pPr>
      <w:rPr>
        <w:rFonts w:hint="eastAsia" w:ascii="黑体" w:hAnsi="黑体" w:eastAsia="黑体"/>
      </w:rPr>
    </w:lvl>
    <w:lvl w:ilvl="8" w:tentative="0">
      <w:start w:val="1"/>
      <w:numFmt w:val="decimal"/>
      <w:pStyle w:val="11"/>
      <w:isLgl/>
      <w:suff w:val="space"/>
      <w:lvlText w:val="%1.%2.%3.%4.%5.%6.%7.%8.%9."/>
      <w:lvlJc w:val="left"/>
      <w:pPr>
        <w:ind w:left="0" w:firstLine="0"/>
      </w:pPr>
      <w:rPr>
        <w:rFonts w:hint="eastAsia"/>
      </w:rPr>
    </w:lvl>
  </w:abstractNum>
  <w:abstractNum w:abstractNumId="34">
    <w:nsid w:val="2193BDF9"/>
    <w:multiLevelType w:val="singleLevel"/>
    <w:tmpl w:val="2193BDF9"/>
    <w:lvl w:ilvl="0" w:tentative="0">
      <w:start w:val="1"/>
      <w:numFmt w:val="decimal"/>
      <w:lvlText w:val="%1."/>
      <w:lvlJc w:val="left"/>
      <w:pPr>
        <w:ind w:left="905" w:hanging="425"/>
      </w:pPr>
      <w:rPr>
        <w:rFonts w:hint="default"/>
      </w:rPr>
    </w:lvl>
  </w:abstractNum>
  <w:abstractNum w:abstractNumId="35">
    <w:nsid w:val="2DA6710D"/>
    <w:multiLevelType w:val="multilevel"/>
    <w:tmpl w:val="2DA6710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96EC267"/>
    <w:multiLevelType w:val="singleLevel"/>
    <w:tmpl w:val="396EC267"/>
    <w:lvl w:ilvl="0" w:tentative="0">
      <w:start w:val="1"/>
      <w:numFmt w:val="decimal"/>
      <w:suff w:val="space"/>
      <w:lvlText w:val="%1."/>
      <w:lvlJc w:val="left"/>
      <w:pPr>
        <w:ind w:left="454" w:leftChars="0" w:firstLine="0" w:firstLineChars="0"/>
      </w:pPr>
      <w:rPr>
        <w:rFonts w:hint="default"/>
        <w:b w:val="0"/>
        <w:bCs w:val="0"/>
      </w:rPr>
    </w:lvl>
  </w:abstractNum>
  <w:abstractNum w:abstractNumId="37">
    <w:nsid w:val="3D32D4A2"/>
    <w:multiLevelType w:val="singleLevel"/>
    <w:tmpl w:val="3D32D4A2"/>
    <w:lvl w:ilvl="0" w:tentative="0">
      <w:start w:val="2"/>
      <w:numFmt w:val="chineseCounting"/>
      <w:suff w:val="space"/>
      <w:lvlText w:val="第%1部分"/>
      <w:lvlJc w:val="left"/>
      <w:rPr>
        <w:rFonts w:hint="eastAsia"/>
      </w:rPr>
    </w:lvl>
  </w:abstractNum>
  <w:abstractNum w:abstractNumId="38">
    <w:nsid w:val="406B12D1"/>
    <w:multiLevelType w:val="multilevel"/>
    <w:tmpl w:val="406B12D1"/>
    <w:lvl w:ilvl="0" w:tentative="0">
      <w:start w:val="1"/>
      <w:numFmt w:val="decimal"/>
      <w:pStyle w:val="153"/>
      <w:lvlText w:val="%1."/>
      <w:lvlJc w:val="left"/>
      <w:pPr>
        <w:tabs>
          <w:tab w:val="left" w:pos="720"/>
        </w:tabs>
        <w:ind w:left="720" w:hanging="720"/>
      </w:pPr>
    </w:lvl>
    <w:lvl w:ilvl="1" w:tentative="0">
      <w:start w:val="1"/>
      <w:numFmt w:val="decimal"/>
      <w:pStyle w:val="151"/>
      <w:lvlText w:val="%2."/>
      <w:lvlJc w:val="left"/>
      <w:pPr>
        <w:tabs>
          <w:tab w:val="left" w:pos="1440"/>
        </w:tabs>
        <w:ind w:left="1440" w:hanging="720"/>
      </w:pPr>
    </w:lvl>
    <w:lvl w:ilvl="2" w:tentative="0">
      <w:start w:val="1"/>
      <w:numFmt w:val="decimal"/>
      <w:pStyle w:val="149"/>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39">
    <w:nsid w:val="45020D26"/>
    <w:multiLevelType w:val="singleLevel"/>
    <w:tmpl w:val="45020D26"/>
    <w:lvl w:ilvl="0" w:tentative="0">
      <w:start w:val="1"/>
      <w:numFmt w:val="decimal"/>
      <w:lvlText w:val="%1."/>
      <w:lvlJc w:val="left"/>
      <w:pPr>
        <w:ind w:left="905" w:hanging="425"/>
      </w:pPr>
      <w:rPr>
        <w:rFonts w:hint="default"/>
      </w:rPr>
    </w:lvl>
  </w:abstractNum>
  <w:abstractNum w:abstractNumId="40">
    <w:nsid w:val="49B42AC5"/>
    <w:multiLevelType w:val="singleLevel"/>
    <w:tmpl w:val="49B42AC5"/>
    <w:lvl w:ilvl="0" w:tentative="0">
      <w:start w:val="1"/>
      <w:numFmt w:val="chineseCounting"/>
      <w:suff w:val="nothing"/>
      <w:lvlText w:val="%1、"/>
      <w:lvlJc w:val="left"/>
      <w:pPr>
        <w:ind w:left="0" w:firstLine="454"/>
      </w:pPr>
      <w:rPr>
        <w:rFonts w:hint="eastAsia"/>
      </w:rPr>
    </w:lvl>
  </w:abstractNum>
  <w:abstractNum w:abstractNumId="41">
    <w:nsid w:val="4CA75A52"/>
    <w:multiLevelType w:val="multilevel"/>
    <w:tmpl w:val="4CA75A52"/>
    <w:lvl w:ilvl="0" w:tentative="0">
      <w:start w:val="1"/>
      <w:numFmt w:val="decimal"/>
      <w:pStyle w:val="68"/>
      <w:lvlText w:val="%1)"/>
      <w:lvlJc w:val="left"/>
      <w:pPr>
        <w:ind w:left="420" w:firstLine="0"/>
      </w:pPr>
      <w:rPr>
        <w:rFonts w:hint="eastAsia"/>
      </w:rPr>
    </w:lvl>
    <w:lvl w:ilvl="1" w:tentative="0">
      <w:start w:val="1"/>
      <w:numFmt w:val="lowerLetter"/>
      <w:lvlText w:val="%2)"/>
      <w:lvlJc w:val="left"/>
      <w:pPr>
        <w:ind w:left="420" w:hanging="420"/>
      </w:pPr>
    </w:lvl>
    <w:lvl w:ilvl="2" w:tentative="0">
      <w:start w:val="1"/>
      <w:numFmt w:val="lowerRoman"/>
      <w:pStyle w:val="71"/>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42">
    <w:nsid w:val="4E494A37"/>
    <w:multiLevelType w:val="singleLevel"/>
    <w:tmpl w:val="4E494A37"/>
    <w:lvl w:ilvl="0" w:tentative="0">
      <w:start w:val="1"/>
      <w:numFmt w:val="bullet"/>
      <w:suff w:val="space"/>
      <w:lvlText w:val=""/>
      <w:lvlJc w:val="left"/>
      <w:pPr>
        <w:ind w:left="900" w:hanging="420"/>
      </w:pPr>
      <w:rPr>
        <w:rFonts w:hint="default" w:ascii="Wingdings" w:hAnsi="Wingdings"/>
      </w:rPr>
    </w:lvl>
  </w:abstractNum>
  <w:abstractNum w:abstractNumId="43">
    <w:nsid w:val="4FA36708"/>
    <w:multiLevelType w:val="multilevel"/>
    <w:tmpl w:val="4FA3670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4FBCFDD7"/>
    <w:multiLevelType w:val="multilevel"/>
    <w:tmpl w:val="4FBCFDD7"/>
    <w:lvl w:ilvl="0" w:tentative="0">
      <w:start w:val="1"/>
      <w:numFmt w:val="bullet"/>
      <w:suff w:val="space"/>
      <w:lvlText w:val=""/>
      <w:lvlJc w:val="left"/>
      <w:pPr>
        <w:ind w:left="0" w:leftChars="0" w:firstLine="480" w:firstLineChars="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5">
    <w:nsid w:val="5883F97E"/>
    <w:multiLevelType w:val="singleLevel"/>
    <w:tmpl w:val="5883F97E"/>
    <w:lvl w:ilvl="0" w:tentative="0">
      <w:start w:val="1"/>
      <w:numFmt w:val="chineseCounting"/>
      <w:suff w:val="nothing"/>
      <w:lvlText w:val="%1、"/>
      <w:lvlJc w:val="left"/>
      <w:pPr>
        <w:ind w:left="0" w:firstLine="454"/>
      </w:pPr>
      <w:rPr>
        <w:rFonts w:hint="eastAsia"/>
      </w:rPr>
    </w:lvl>
  </w:abstractNum>
  <w:abstractNum w:abstractNumId="46">
    <w:nsid w:val="5B7FF91F"/>
    <w:multiLevelType w:val="multilevel"/>
    <w:tmpl w:val="5B7FF91F"/>
    <w:lvl w:ilvl="0" w:tentative="0">
      <w:start w:val="1"/>
      <w:numFmt w:val="decimal"/>
      <w:suff w:val="space"/>
      <w:lvlText w:val="%1."/>
      <w:lvlJc w:val="left"/>
      <w:pPr>
        <w:ind w:left="0" w:leftChars="0" w:firstLine="454"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7">
    <w:nsid w:val="5D65E9B8"/>
    <w:multiLevelType w:val="singleLevel"/>
    <w:tmpl w:val="5D65E9B8"/>
    <w:lvl w:ilvl="0" w:tentative="0">
      <w:start w:val="1"/>
      <w:numFmt w:val="bullet"/>
      <w:pStyle w:val="15"/>
      <w:lvlText w:val=""/>
      <w:lvlJc w:val="left"/>
      <w:pPr>
        <w:tabs>
          <w:tab w:val="left" w:pos="360"/>
        </w:tabs>
        <w:ind w:left="360" w:hanging="360"/>
      </w:pPr>
      <w:rPr>
        <w:rFonts w:hint="default" w:ascii="Wingdings" w:hAnsi="Wingdings"/>
      </w:rPr>
    </w:lvl>
  </w:abstractNum>
  <w:abstractNum w:abstractNumId="48">
    <w:nsid w:val="5E0E5903"/>
    <w:multiLevelType w:val="singleLevel"/>
    <w:tmpl w:val="5E0E5903"/>
    <w:lvl w:ilvl="0" w:tentative="0">
      <w:start w:val="1"/>
      <w:numFmt w:val="decimal"/>
      <w:lvlText w:val="%1."/>
      <w:lvlJc w:val="left"/>
      <w:pPr>
        <w:ind w:left="905" w:hanging="425"/>
      </w:pPr>
      <w:rPr>
        <w:rFonts w:hint="default"/>
      </w:rPr>
    </w:lvl>
  </w:abstractNum>
  <w:abstractNum w:abstractNumId="49">
    <w:nsid w:val="6BF97594"/>
    <w:multiLevelType w:val="multilevel"/>
    <w:tmpl w:val="6BF97594"/>
    <w:lvl w:ilvl="0" w:tentative="0">
      <w:start w:val="1"/>
      <w:numFmt w:val="decimal"/>
      <w:pStyle w:val="147"/>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0">
    <w:nsid w:val="6FC65D24"/>
    <w:multiLevelType w:val="multilevel"/>
    <w:tmpl w:val="6FC65D2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1">
    <w:nsid w:val="729824BB"/>
    <w:multiLevelType w:val="multilevel"/>
    <w:tmpl w:val="729824BB"/>
    <w:lvl w:ilvl="0" w:tentative="0">
      <w:start w:val="1"/>
      <w:numFmt w:val="decimal"/>
      <w:lvlText w:val="%1)"/>
      <w:lvlJc w:val="left"/>
      <w:pPr>
        <w:ind w:left="0" w:leftChars="0" w:firstLine="480" w:firstLineChars="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2">
    <w:nsid w:val="73F24ED5"/>
    <w:multiLevelType w:val="multilevel"/>
    <w:tmpl w:val="73F24ED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7D06D5DF"/>
    <w:multiLevelType w:val="singleLevel"/>
    <w:tmpl w:val="7D06D5DF"/>
    <w:lvl w:ilvl="0" w:tentative="0">
      <w:start w:val="1"/>
      <w:numFmt w:val="decimal"/>
      <w:suff w:val="space"/>
      <w:lvlText w:val="%1."/>
      <w:lvlJc w:val="left"/>
      <w:pPr>
        <w:ind w:left="0" w:leftChars="0" w:firstLine="454" w:firstLineChars="0"/>
      </w:pPr>
      <w:rPr>
        <w:rFonts w:hint="default"/>
      </w:rPr>
    </w:lvl>
  </w:abstractNum>
  <w:num w:numId="1">
    <w:abstractNumId w:val="33"/>
  </w:num>
  <w:num w:numId="2">
    <w:abstractNumId w:val="47"/>
  </w:num>
  <w:num w:numId="3">
    <w:abstractNumId w:val="41"/>
  </w:num>
  <w:num w:numId="4">
    <w:abstractNumId w:val="21"/>
  </w:num>
  <w:num w:numId="5">
    <w:abstractNumId w:val="49"/>
  </w:num>
  <w:num w:numId="6">
    <w:abstractNumId w:val="38"/>
  </w:num>
  <w:num w:numId="7">
    <w:abstractNumId w:val="11"/>
  </w:num>
  <w:num w:numId="8">
    <w:abstractNumId w:val="18"/>
  </w:num>
  <w:num w:numId="9">
    <w:abstractNumId w:val="12"/>
  </w:num>
  <w:num w:numId="10">
    <w:abstractNumId w:val="32"/>
  </w:num>
  <w:num w:numId="11">
    <w:abstractNumId w:val="22"/>
  </w:num>
  <w:num w:numId="12">
    <w:abstractNumId w:val="7"/>
  </w:num>
  <w:num w:numId="13">
    <w:abstractNumId w:val="50"/>
  </w:num>
  <w:num w:numId="14">
    <w:abstractNumId w:val="45"/>
  </w:num>
  <w:num w:numId="15">
    <w:abstractNumId w:val="15"/>
  </w:num>
  <w:num w:numId="16">
    <w:abstractNumId w:val="23"/>
  </w:num>
  <w:num w:numId="17">
    <w:abstractNumId w:val="4"/>
  </w:num>
  <w:num w:numId="18">
    <w:abstractNumId w:val="14"/>
  </w:num>
  <w:num w:numId="19">
    <w:abstractNumId w:val="5"/>
  </w:num>
  <w:num w:numId="20">
    <w:abstractNumId w:val="8"/>
  </w:num>
  <w:num w:numId="21">
    <w:abstractNumId w:val="26"/>
  </w:num>
  <w:num w:numId="22">
    <w:abstractNumId w:val="6"/>
  </w:num>
  <w:num w:numId="23">
    <w:abstractNumId w:val="17"/>
  </w:num>
  <w:num w:numId="24">
    <w:abstractNumId w:val="3"/>
  </w:num>
  <w:num w:numId="25">
    <w:abstractNumId w:val="13"/>
  </w:num>
  <w:num w:numId="26">
    <w:abstractNumId w:val="40"/>
  </w:num>
  <w:num w:numId="27">
    <w:abstractNumId w:val="9"/>
  </w:num>
  <w:num w:numId="28">
    <w:abstractNumId w:val="10"/>
  </w:num>
  <w:num w:numId="29">
    <w:abstractNumId w:val="30"/>
  </w:num>
  <w:num w:numId="30">
    <w:abstractNumId w:val="51"/>
  </w:num>
  <w:num w:numId="31">
    <w:abstractNumId w:val="52"/>
  </w:num>
  <w:num w:numId="32">
    <w:abstractNumId w:val="44"/>
  </w:num>
  <w:num w:numId="33">
    <w:abstractNumId w:val="25"/>
  </w:num>
  <w:num w:numId="34">
    <w:abstractNumId w:val="24"/>
  </w:num>
  <w:num w:numId="35">
    <w:abstractNumId w:val="42"/>
  </w:num>
  <w:num w:numId="36">
    <w:abstractNumId w:val="19"/>
  </w:num>
  <w:num w:numId="37">
    <w:abstractNumId w:val="37"/>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num>
  <w:num w:numId="40">
    <w:abstractNumId w:val="16"/>
  </w:num>
  <w:num w:numId="41">
    <w:abstractNumId w:val="34"/>
  </w:num>
  <w:num w:numId="42">
    <w:abstractNumId w:val="2"/>
  </w:num>
  <w:num w:numId="43">
    <w:abstractNumId w:val="48"/>
  </w:num>
  <w:num w:numId="44">
    <w:abstractNumId w:val="20"/>
  </w:num>
  <w:num w:numId="45">
    <w:abstractNumId w:val="39"/>
  </w:num>
  <w:num w:numId="46">
    <w:abstractNumId w:val="46"/>
  </w:num>
  <w:num w:numId="47">
    <w:abstractNumId w:val="0"/>
  </w:num>
  <w:num w:numId="48">
    <w:abstractNumId w:val="36"/>
  </w:num>
  <w:num w:numId="49">
    <w:abstractNumId w:val="1"/>
  </w:num>
  <w:num w:numId="50">
    <w:abstractNumId w:val="27"/>
  </w:num>
  <w:num w:numId="51">
    <w:abstractNumId w:val="29"/>
  </w:num>
  <w:num w:numId="52">
    <w:abstractNumId w:val="35"/>
  </w:num>
  <w:num w:numId="53">
    <w:abstractNumId w:val="43"/>
  </w:num>
  <w:num w:numId="54">
    <w:abstractNumId w:val="31"/>
  </w:num>
  <w:num w:numId="5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8D1"/>
    <w:rsid w:val="00003DDF"/>
    <w:rsid w:val="0000510A"/>
    <w:rsid w:val="000106B2"/>
    <w:rsid w:val="00010738"/>
    <w:rsid w:val="00010991"/>
    <w:rsid w:val="0001108B"/>
    <w:rsid w:val="00013F9C"/>
    <w:rsid w:val="00021055"/>
    <w:rsid w:val="000217DF"/>
    <w:rsid w:val="00024249"/>
    <w:rsid w:val="00042200"/>
    <w:rsid w:val="00042ACF"/>
    <w:rsid w:val="000548D7"/>
    <w:rsid w:val="000560C5"/>
    <w:rsid w:val="00061D29"/>
    <w:rsid w:val="000635AB"/>
    <w:rsid w:val="00072CE3"/>
    <w:rsid w:val="0007454E"/>
    <w:rsid w:val="00077FE0"/>
    <w:rsid w:val="000815E7"/>
    <w:rsid w:val="000830FC"/>
    <w:rsid w:val="00085617"/>
    <w:rsid w:val="0009489C"/>
    <w:rsid w:val="00097E7F"/>
    <w:rsid w:val="000A2615"/>
    <w:rsid w:val="000A44C9"/>
    <w:rsid w:val="000A6CAB"/>
    <w:rsid w:val="000B030E"/>
    <w:rsid w:val="000B08EE"/>
    <w:rsid w:val="000B7A0D"/>
    <w:rsid w:val="000C0BF2"/>
    <w:rsid w:val="000C0EDB"/>
    <w:rsid w:val="000C3D91"/>
    <w:rsid w:val="000C53B7"/>
    <w:rsid w:val="000C6BD6"/>
    <w:rsid w:val="000D02E1"/>
    <w:rsid w:val="000D638B"/>
    <w:rsid w:val="000D6BFE"/>
    <w:rsid w:val="000D7843"/>
    <w:rsid w:val="000E2374"/>
    <w:rsid w:val="000F4105"/>
    <w:rsid w:val="001102FE"/>
    <w:rsid w:val="001111EA"/>
    <w:rsid w:val="00111DEA"/>
    <w:rsid w:val="00113351"/>
    <w:rsid w:val="001322B0"/>
    <w:rsid w:val="0013336D"/>
    <w:rsid w:val="00133891"/>
    <w:rsid w:val="0013427E"/>
    <w:rsid w:val="00143131"/>
    <w:rsid w:val="00143A85"/>
    <w:rsid w:val="00144A66"/>
    <w:rsid w:val="00145A9A"/>
    <w:rsid w:val="00145EF2"/>
    <w:rsid w:val="00150F07"/>
    <w:rsid w:val="001513C3"/>
    <w:rsid w:val="0015176D"/>
    <w:rsid w:val="0015237D"/>
    <w:rsid w:val="00152E84"/>
    <w:rsid w:val="00154875"/>
    <w:rsid w:val="00157A38"/>
    <w:rsid w:val="00160C5D"/>
    <w:rsid w:val="00161319"/>
    <w:rsid w:val="001652CE"/>
    <w:rsid w:val="00165F8C"/>
    <w:rsid w:val="001732A4"/>
    <w:rsid w:val="00175E56"/>
    <w:rsid w:val="001772B1"/>
    <w:rsid w:val="00182476"/>
    <w:rsid w:val="00183F26"/>
    <w:rsid w:val="001930C7"/>
    <w:rsid w:val="00193EA4"/>
    <w:rsid w:val="00194644"/>
    <w:rsid w:val="00195302"/>
    <w:rsid w:val="001A0D9B"/>
    <w:rsid w:val="001A41CA"/>
    <w:rsid w:val="001A47AA"/>
    <w:rsid w:val="001A5A5A"/>
    <w:rsid w:val="001A6B7D"/>
    <w:rsid w:val="001B537A"/>
    <w:rsid w:val="001B6649"/>
    <w:rsid w:val="001B7F6D"/>
    <w:rsid w:val="001C13BC"/>
    <w:rsid w:val="001C1C4F"/>
    <w:rsid w:val="001D296C"/>
    <w:rsid w:val="001D5298"/>
    <w:rsid w:val="001E19D3"/>
    <w:rsid w:val="001E1A05"/>
    <w:rsid w:val="001E4E30"/>
    <w:rsid w:val="001F050E"/>
    <w:rsid w:val="001F7126"/>
    <w:rsid w:val="0020290D"/>
    <w:rsid w:val="00206360"/>
    <w:rsid w:val="002078B4"/>
    <w:rsid w:val="002108D1"/>
    <w:rsid w:val="00212A37"/>
    <w:rsid w:val="002179D4"/>
    <w:rsid w:val="00223230"/>
    <w:rsid w:val="002274A9"/>
    <w:rsid w:val="00231AD8"/>
    <w:rsid w:val="002325A5"/>
    <w:rsid w:val="002345C2"/>
    <w:rsid w:val="002347F9"/>
    <w:rsid w:val="002360BA"/>
    <w:rsid w:val="002368E9"/>
    <w:rsid w:val="0025041B"/>
    <w:rsid w:val="00250A46"/>
    <w:rsid w:val="00250ADC"/>
    <w:rsid w:val="00252843"/>
    <w:rsid w:val="00253F2C"/>
    <w:rsid w:val="002608FF"/>
    <w:rsid w:val="002678A0"/>
    <w:rsid w:val="00267B6A"/>
    <w:rsid w:val="0027005D"/>
    <w:rsid w:val="0027136C"/>
    <w:rsid w:val="002748B2"/>
    <w:rsid w:val="00276F2F"/>
    <w:rsid w:val="00277795"/>
    <w:rsid w:val="0028005F"/>
    <w:rsid w:val="002816E0"/>
    <w:rsid w:val="002920DB"/>
    <w:rsid w:val="002926E3"/>
    <w:rsid w:val="00297124"/>
    <w:rsid w:val="00297B41"/>
    <w:rsid w:val="002A075B"/>
    <w:rsid w:val="002A10BA"/>
    <w:rsid w:val="002A2598"/>
    <w:rsid w:val="002A5C27"/>
    <w:rsid w:val="002A762F"/>
    <w:rsid w:val="002B114E"/>
    <w:rsid w:val="002B1D10"/>
    <w:rsid w:val="002B6C0A"/>
    <w:rsid w:val="002C2C5F"/>
    <w:rsid w:val="002C5B60"/>
    <w:rsid w:val="002E020D"/>
    <w:rsid w:val="002E2870"/>
    <w:rsid w:val="002E2DB2"/>
    <w:rsid w:val="002E6C55"/>
    <w:rsid w:val="002F16AE"/>
    <w:rsid w:val="002F4D98"/>
    <w:rsid w:val="002F562A"/>
    <w:rsid w:val="003009D8"/>
    <w:rsid w:val="00305D63"/>
    <w:rsid w:val="00306923"/>
    <w:rsid w:val="003072E1"/>
    <w:rsid w:val="00315B32"/>
    <w:rsid w:val="003163B4"/>
    <w:rsid w:val="00322FAB"/>
    <w:rsid w:val="003232D0"/>
    <w:rsid w:val="00327253"/>
    <w:rsid w:val="003277BC"/>
    <w:rsid w:val="00331899"/>
    <w:rsid w:val="003348FA"/>
    <w:rsid w:val="003350E1"/>
    <w:rsid w:val="00341020"/>
    <w:rsid w:val="00351BAF"/>
    <w:rsid w:val="00352170"/>
    <w:rsid w:val="003608E7"/>
    <w:rsid w:val="003616A9"/>
    <w:rsid w:val="003644A6"/>
    <w:rsid w:val="003650B9"/>
    <w:rsid w:val="00366AFF"/>
    <w:rsid w:val="0037058E"/>
    <w:rsid w:val="003713A0"/>
    <w:rsid w:val="00371CA0"/>
    <w:rsid w:val="00374744"/>
    <w:rsid w:val="00374AC4"/>
    <w:rsid w:val="00382213"/>
    <w:rsid w:val="00385453"/>
    <w:rsid w:val="00396B8A"/>
    <w:rsid w:val="003A0843"/>
    <w:rsid w:val="003A42E0"/>
    <w:rsid w:val="003A59EB"/>
    <w:rsid w:val="003A6C74"/>
    <w:rsid w:val="003A7E25"/>
    <w:rsid w:val="003B3252"/>
    <w:rsid w:val="003B48E1"/>
    <w:rsid w:val="003C11E2"/>
    <w:rsid w:val="003C1DE7"/>
    <w:rsid w:val="003C4850"/>
    <w:rsid w:val="003C5C99"/>
    <w:rsid w:val="003D0E55"/>
    <w:rsid w:val="003D2EAD"/>
    <w:rsid w:val="003D7304"/>
    <w:rsid w:val="003E0301"/>
    <w:rsid w:val="003E1699"/>
    <w:rsid w:val="003E2014"/>
    <w:rsid w:val="003E4C81"/>
    <w:rsid w:val="003E543A"/>
    <w:rsid w:val="003F6286"/>
    <w:rsid w:val="003F6510"/>
    <w:rsid w:val="003F72A9"/>
    <w:rsid w:val="003F748B"/>
    <w:rsid w:val="00402124"/>
    <w:rsid w:val="004071AB"/>
    <w:rsid w:val="00413F33"/>
    <w:rsid w:val="004163FF"/>
    <w:rsid w:val="00416BDB"/>
    <w:rsid w:val="00426B68"/>
    <w:rsid w:val="004304F1"/>
    <w:rsid w:val="0043081B"/>
    <w:rsid w:val="0043108E"/>
    <w:rsid w:val="004312C8"/>
    <w:rsid w:val="0043535D"/>
    <w:rsid w:val="004363EA"/>
    <w:rsid w:val="00450E21"/>
    <w:rsid w:val="00452E61"/>
    <w:rsid w:val="00457B62"/>
    <w:rsid w:val="00470CC1"/>
    <w:rsid w:val="004734D8"/>
    <w:rsid w:val="00473587"/>
    <w:rsid w:val="004813B0"/>
    <w:rsid w:val="00484684"/>
    <w:rsid w:val="00486D1C"/>
    <w:rsid w:val="004907E0"/>
    <w:rsid w:val="004918BD"/>
    <w:rsid w:val="004924C7"/>
    <w:rsid w:val="00494A49"/>
    <w:rsid w:val="004972D3"/>
    <w:rsid w:val="004A08F2"/>
    <w:rsid w:val="004A141B"/>
    <w:rsid w:val="004A4831"/>
    <w:rsid w:val="004A5135"/>
    <w:rsid w:val="004B38C5"/>
    <w:rsid w:val="004B5E73"/>
    <w:rsid w:val="004B71C6"/>
    <w:rsid w:val="004C51C1"/>
    <w:rsid w:val="004D1990"/>
    <w:rsid w:val="004E071A"/>
    <w:rsid w:val="004E626A"/>
    <w:rsid w:val="004F2065"/>
    <w:rsid w:val="004F20EE"/>
    <w:rsid w:val="004F40A5"/>
    <w:rsid w:val="004F6B47"/>
    <w:rsid w:val="00502F4C"/>
    <w:rsid w:val="00503E6E"/>
    <w:rsid w:val="005051E0"/>
    <w:rsid w:val="00505237"/>
    <w:rsid w:val="00506D81"/>
    <w:rsid w:val="0051312D"/>
    <w:rsid w:val="00517B4C"/>
    <w:rsid w:val="0052139E"/>
    <w:rsid w:val="00522166"/>
    <w:rsid w:val="00523D7A"/>
    <w:rsid w:val="00536096"/>
    <w:rsid w:val="0053630E"/>
    <w:rsid w:val="005370B8"/>
    <w:rsid w:val="005410E2"/>
    <w:rsid w:val="005427D1"/>
    <w:rsid w:val="00542A06"/>
    <w:rsid w:val="005433D5"/>
    <w:rsid w:val="005516B6"/>
    <w:rsid w:val="0055257B"/>
    <w:rsid w:val="0055344A"/>
    <w:rsid w:val="0055456C"/>
    <w:rsid w:val="005560A6"/>
    <w:rsid w:val="00556834"/>
    <w:rsid w:val="005614BC"/>
    <w:rsid w:val="0056684C"/>
    <w:rsid w:val="00570041"/>
    <w:rsid w:val="005746BD"/>
    <w:rsid w:val="00574F18"/>
    <w:rsid w:val="005768EA"/>
    <w:rsid w:val="0058004D"/>
    <w:rsid w:val="005809B0"/>
    <w:rsid w:val="00586277"/>
    <w:rsid w:val="00587B67"/>
    <w:rsid w:val="00591AA4"/>
    <w:rsid w:val="00597329"/>
    <w:rsid w:val="005B15B9"/>
    <w:rsid w:val="005B1CA5"/>
    <w:rsid w:val="005C11CB"/>
    <w:rsid w:val="005C3018"/>
    <w:rsid w:val="005C498E"/>
    <w:rsid w:val="005C55FE"/>
    <w:rsid w:val="005C5DAF"/>
    <w:rsid w:val="005C5E4C"/>
    <w:rsid w:val="005D5456"/>
    <w:rsid w:val="005D5AE9"/>
    <w:rsid w:val="005D6278"/>
    <w:rsid w:val="005D7F64"/>
    <w:rsid w:val="005E3BAF"/>
    <w:rsid w:val="005E4D89"/>
    <w:rsid w:val="005F1139"/>
    <w:rsid w:val="005F3A3E"/>
    <w:rsid w:val="005F457B"/>
    <w:rsid w:val="005F651D"/>
    <w:rsid w:val="00600732"/>
    <w:rsid w:val="00600E6A"/>
    <w:rsid w:val="00601A4A"/>
    <w:rsid w:val="00602B92"/>
    <w:rsid w:val="006036BF"/>
    <w:rsid w:val="00607FCE"/>
    <w:rsid w:val="00624299"/>
    <w:rsid w:val="00624DB5"/>
    <w:rsid w:val="00632DF8"/>
    <w:rsid w:val="00635FB8"/>
    <w:rsid w:val="00641A94"/>
    <w:rsid w:val="00643607"/>
    <w:rsid w:val="00643A81"/>
    <w:rsid w:val="00643DCB"/>
    <w:rsid w:val="00650314"/>
    <w:rsid w:val="006505D8"/>
    <w:rsid w:val="00652573"/>
    <w:rsid w:val="00652FF2"/>
    <w:rsid w:val="00653694"/>
    <w:rsid w:val="00653B18"/>
    <w:rsid w:val="0065549A"/>
    <w:rsid w:val="00663422"/>
    <w:rsid w:val="00664136"/>
    <w:rsid w:val="006667A0"/>
    <w:rsid w:val="00677487"/>
    <w:rsid w:val="00680DBE"/>
    <w:rsid w:val="00681869"/>
    <w:rsid w:val="0068282E"/>
    <w:rsid w:val="00683839"/>
    <w:rsid w:val="006901B9"/>
    <w:rsid w:val="0069311E"/>
    <w:rsid w:val="0069630F"/>
    <w:rsid w:val="006A0A91"/>
    <w:rsid w:val="006A3E11"/>
    <w:rsid w:val="006A56C3"/>
    <w:rsid w:val="006A67C3"/>
    <w:rsid w:val="006A7753"/>
    <w:rsid w:val="006B0D2A"/>
    <w:rsid w:val="006C305E"/>
    <w:rsid w:val="006C61F4"/>
    <w:rsid w:val="006C671E"/>
    <w:rsid w:val="006C7BAC"/>
    <w:rsid w:val="006D0E72"/>
    <w:rsid w:val="006D1598"/>
    <w:rsid w:val="006D3252"/>
    <w:rsid w:val="006D3748"/>
    <w:rsid w:val="006D47F2"/>
    <w:rsid w:val="006D596C"/>
    <w:rsid w:val="006D7AA1"/>
    <w:rsid w:val="006E063A"/>
    <w:rsid w:val="006E0FE8"/>
    <w:rsid w:val="006E2018"/>
    <w:rsid w:val="006E2C77"/>
    <w:rsid w:val="006F0479"/>
    <w:rsid w:val="006F2590"/>
    <w:rsid w:val="006F2CBC"/>
    <w:rsid w:val="006F5321"/>
    <w:rsid w:val="006F53D2"/>
    <w:rsid w:val="006F7351"/>
    <w:rsid w:val="0070105B"/>
    <w:rsid w:val="00702687"/>
    <w:rsid w:val="0071678C"/>
    <w:rsid w:val="0072499D"/>
    <w:rsid w:val="00725020"/>
    <w:rsid w:val="00725B1D"/>
    <w:rsid w:val="0073081B"/>
    <w:rsid w:val="00735FE9"/>
    <w:rsid w:val="007418E0"/>
    <w:rsid w:val="0074249A"/>
    <w:rsid w:val="00742C8F"/>
    <w:rsid w:val="00747FA3"/>
    <w:rsid w:val="0075012D"/>
    <w:rsid w:val="0075475A"/>
    <w:rsid w:val="0075505B"/>
    <w:rsid w:val="00755BEB"/>
    <w:rsid w:val="007616CF"/>
    <w:rsid w:val="00761A84"/>
    <w:rsid w:val="00761A9A"/>
    <w:rsid w:val="0076425B"/>
    <w:rsid w:val="0077225E"/>
    <w:rsid w:val="00774DAB"/>
    <w:rsid w:val="00775A31"/>
    <w:rsid w:val="00780308"/>
    <w:rsid w:val="0078191C"/>
    <w:rsid w:val="00783A6F"/>
    <w:rsid w:val="00784026"/>
    <w:rsid w:val="00790497"/>
    <w:rsid w:val="00792F29"/>
    <w:rsid w:val="007A1662"/>
    <w:rsid w:val="007A2430"/>
    <w:rsid w:val="007A6941"/>
    <w:rsid w:val="007A696F"/>
    <w:rsid w:val="007A7296"/>
    <w:rsid w:val="007B03C4"/>
    <w:rsid w:val="007B1DBF"/>
    <w:rsid w:val="007C2134"/>
    <w:rsid w:val="007C446E"/>
    <w:rsid w:val="007C507F"/>
    <w:rsid w:val="007C595D"/>
    <w:rsid w:val="007D30D0"/>
    <w:rsid w:val="007E136F"/>
    <w:rsid w:val="007E4F81"/>
    <w:rsid w:val="007F3A6D"/>
    <w:rsid w:val="007F4447"/>
    <w:rsid w:val="007F797F"/>
    <w:rsid w:val="00800667"/>
    <w:rsid w:val="008046F0"/>
    <w:rsid w:val="008066F1"/>
    <w:rsid w:val="00814BEC"/>
    <w:rsid w:val="00823411"/>
    <w:rsid w:val="0082755F"/>
    <w:rsid w:val="008341E3"/>
    <w:rsid w:val="00837508"/>
    <w:rsid w:val="00850D58"/>
    <w:rsid w:val="008518CD"/>
    <w:rsid w:val="00855221"/>
    <w:rsid w:val="00856810"/>
    <w:rsid w:val="00866228"/>
    <w:rsid w:val="00867E2E"/>
    <w:rsid w:val="00876045"/>
    <w:rsid w:val="00876E55"/>
    <w:rsid w:val="00876E8A"/>
    <w:rsid w:val="00876FC1"/>
    <w:rsid w:val="00881E3D"/>
    <w:rsid w:val="00884247"/>
    <w:rsid w:val="00884BFD"/>
    <w:rsid w:val="008855BB"/>
    <w:rsid w:val="008A095F"/>
    <w:rsid w:val="008A1322"/>
    <w:rsid w:val="008A6A40"/>
    <w:rsid w:val="008B3B8E"/>
    <w:rsid w:val="008B49F9"/>
    <w:rsid w:val="008B5FB2"/>
    <w:rsid w:val="008B7670"/>
    <w:rsid w:val="008C5A7C"/>
    <w:rsid w:val="008C6B4A"/>
    <w:rsid w:val="008C74FE"/>
    <w:rsid w:val="008D0F42"/>
    <w:rsid w:val="008D7B94"/>
    <w:rsid w:val="008E0BF1"/>
    <w:rsid w:val="008E0C9F"/>
    <w:rsid w:val="008E2A6A"/>
    <w:rsid w:val="008E3319"/>
    <w:rsid w:val="008E3B19"/>
    <w:rsid w:val="008F0346"/>
    <w:rsid w:val="009006A7"/>
    <w:rsid w:val="00901B56"/>
    <w:rsid w:val="00907B9B"/>
    <w:rsid w:val="009119DE"/>
    <w:rsid w:val="00911F14"/>
    <w:rsid w:val="009137B7"/>
    <w:rsid w:val="0091420D"/>
    <w:rsid w:val="009158ED"/>
    <w:rsid w:val="00921A71"/>
    <w:rsid w:val="00921B68"/>
    <w:rsid w:val="00922083"/>
    <w:rsid w:val="00924AF9"/>
    <w:rsid w:val="0093333C"/>
    <w:rsid w:val="009346D7"/>
    <w:rsid w:val="00941AED"/>
    <w:rsid w:val="009442E8"/>
    <w:rsid w:val="00946FE0"/>
    <w:rsid w:val="0095233A"/>
    <w:rsid w:val="009523B9"/>
    <w:rsid w:val="00961082"/>
    <w:rsid w:val="00967284"/>
    <w:rsid w:val="00967F2D"/>
    <w:rsid w:val="00975FD4"/>
    <w:rsid w:val="00976407"/>
    <w:rsid w:val="009817C3"/>
    <w:rsid w:val="0098255A"/>
    <w:rsid w:val="0098658D"/>
    <w:rsid w:val="00986E97"/>
    <w:rsid w:val="009879EB"/>
    <w:rsid w:val="00990299"/>
    <w:rsid w:val="009902A2"/>
    <w:rsid w:val="00990F4D"/>
    <w:rsid w:val="00993152"/>
    <w:rsid w:val="009950DE"/>
    <w:rsid w:val="00995270"/>
    <w:rsid w:val="009A0232"/>
    <w:rsid w:val="009A0B23"/>
    <w:rsid w:val="009B2F46"/>
    <w:rsid w:val="009C3154"/>
    <w:rsid w:val="009C4211"/>
    <w:rsid w:val="009C4FE1"/>
    <w:rsid w:val="009C6679"/>
    <w:rsid w:val="009D5644"/>
    <w:rsid w:val="009E139C"/>
    <w:rsid w:val="009E3409"/>
    <w:rsid w:val="009F436D"/>
    <w:rsid w:val="009F4CB8"/>
    <w:rsid w:val="009F55D5"/>
    <w:rsid w:val="009F5B23"/>
    <w:rsid w:val="009F6833"/>
    <w:rsid w:val="00A00280"/>
    <w:rsid w:val="00A01B8C"/>
    <w:rsid w:val="00A11B87"/>
    <w:rsid w:val="00A174AE"/>
    <w:rsid w:val="00A219AD"/>
    <w:rsid w:val="00A25CD3"/>
    <w:rsid w:val="00A2669B"/>
    <w:rsid w:val="00A32497"/>
    <w:rsid w:val="00A33ADA"/>
    <w:rsid w:val="00A410BF"/>
    <w:rsid w:val="00A4350C"/>
    <w:rsid w:val="00A44D0F"/>
    <w:rsid w:val="00A45E8C"/>
    <w:rsid w:val="00A53E09"/>
    <w:rsid w:val="00A60C5C"/>
    <w:rsid w:val="00A64BF3"/>
    <w:rsid w:val="00A65BAE"/>
    <w:rsid w:val="00A66212"/>
    <w:rsid w:val="00A709A9"/>
    <w:rsid w:val="00A755BF"/>
    <w:rsid w:val="00A85E4A"/>
    <w:rsid w:val="00A93AE2"/>
    <w:rsid w:val="00A9450A"/>
    <w:rsid w:val="00AA1018"/>
    <w:rsid w:val="00AA464C"/>
    <w:rsid w:val="00AA7D0A"/>
    <w:rsid w:val="00AC1012"/>
    <w:rsid w:val="00AC24AB"/>
    <w:rsid w:val="00AC61E4"/>
    <w:rsid w:val="00AD04BC"/>
    <w:rsid w:val="00AD0816"/>
    <w:rsid w:val="00AD1DC1"/>
    <w:rsid w:val="00AD2534"/>
    <w:rsid w:val="00AD5445"/>
    <w:rsid w:val="00AF1F4D"/>
    <w:rsid w:val="00AF49C1"/>
    <w:rsid w:val="00AF6054"/>
    <w:rsid w:val="00B034E1"/>
    <w:rsid w:val="00B065B3"/>
    <w:rsid w:val="00B0700A"/>
    <w:rsid w:val="00B074CE"/>
    <w:rsid w:val="00B12F74"/>
    <w:rsid w:val="00B15BCE"/>
    <w:rsid w:val="00B17603"/>
    <w:rsid w:val="00B23202"/>
    <w:rsid w:val="00B23D18"/>
    <w:rsid w:val="00B2781B"/>
    <w:rsid w:val="00B41026"/>
    <w:rsid w:val="00B41F82"/>
    <w:rsid w:val="00B44686"/>
    <w:rsid w:val="00B4692C"/>
    <w:rsid w:val="00B5283A"/>
    <w:rsid w:val="00B53D67"/>
    <w:rsid w:val="00B56AF1"/>
    <w:rsid w:val="00B60EE4"/>
    <w:rsid w:val="00B62FC2"/>
    <w:rsid w:val="00B716BA"/>
    <w:rsid w:val="00B7342D"/>
    <w:rsid w:val="00B80582"/>
    <w:rsid w:val="00B86DF2"/>
    <w:rsid w:val="00B90F09"/>
    <w:rsid w:val="00B942D7"/>
    <w:rsid w:val="00B9711A"/>
    <w:rsid w:val="00BA016B"/>
    <w:rsid w:val="00BA5108"/>
    <w:rsid w:val="00BB4C6D"/>
    <w:rsid w:val="00BC13EB"/>
    <w:rsid w:val="00BC28AE"/>
    <w:rsid w:val="00BC3494"/>
    <w:rsid w:val="00BD7035"/>
    <w:rsid w:val="00BE4456"/>
    <w:rsid w:val="00BF1172"/>
    <w:rsid w:val="00BF1BD8"/>
    <w:rsid w:val="00C011DF"/>
    <w:rsid w:val="00C02695"/>
    <w:rsid w:val="00C1060B"/>
    <w:rsid w:val="00C11F63"/>
    <w:rsid w:val="00C17E5D"/>
    <w:rsid w:val="00C203ED"/>
    <w:rsid w:val="00C257C2"/>
    <w:rsid w:val="00C303BA"/>
    <w:rsid w:val="00C3426F"/>
    <w:rsid w:val="00C347E6"/>
    <w:rsid w:val="00C34C59"/>
    <w:rsid w:val="00C35421"/>
    <w:rsid w:val="00C42A00"/>
    <w:rsid w:val="00C43CD0"/>
    <w:rsid w:val="00C43FD1"/>
    <w:rsid w:val="00C44B2F"/>
    <w:rsid w:val="00C451F9"/>
    <w:rsid w:val="00C62F3A"/>
    <w:rsid w:val="00C63075"/>
    <w:rsid w:val="00C673F9"/>
    <w:rsid w:val="00C72A60"/>
    <w:rsid w:val="00C72E56"/>
    <w:rsid w:val="00C73C5B"/>
    <w:rsid w:val="00C74CD9"/>
    <w:rsid w:val="00C7577E"/>
    <w:rsid w:val="00C83064"/>
    <w:rsid w:val="00C84DE9"/>
    <w:rsid w:val="00C913B1"/>
    <w:rsid w:val="00C93222"/>
    <w:rsid w:val="00C937EE"/>
    <w:rsid w:val="00CA4224"/>
    <w:rsid w:val="00CA4D94"/>
    <w:rsid w:val="00CA5C80"/>
    <w:rsid w:val="00CA7876"/>
    <w:rsid w:val="00CA7ED1"/>
    <w:rsid w:val="00CB30D6"/>
    <w:rsid w:val="00CD0E74"/>
    <w:rsid w:val="00CD179F"/>
    <w:rsid w:val="00CD595A"/>
    <w:rsid w:val="00CD5FEE"/>
    <w:rsid w:val="00CE3044"/>
    <w:rsid w:val="00CE3400"/>
    <w:rsid w:val="00CE4FDA"/>
    <w:rsid w:val="00CF1478"/>
    <w:rsid w:val="00CF18E0"/>
    <w:rsid w:val="00CF3844"/>
    <w:rsid w:val="00CF428A"/>
    <w:rsid w:val="00CF71CA"/>
    <w:rsid w:val="00D015A9"/>
    <w:rsid w:val="00D06E47"/>
    <w:rsid w:val="00D16AF7"/>
    <w:rsid w:val="00D17078"/>
    <w:rsid w:val="00D20C50"/>
    <w:rsid w:val="00D2182A"/>
    <w:rsid w:val="00D23359"/>
    <w:rsid w:val="00D253E1"/>
    <w:rsid w:val="00D3222B"/>
    <w:rsid w:val="00D5391A"/>
    <w:rsid w:val="00D53FD4"/>
    <w:rsid w:val="00D56B7F"/>
    <w:rsid w:val="00D62291"/>
    <w:rsid w:val="00D63A06"/>
    <w:rsid w:val="00D63E24"/>
    <w:rsid w:val="00D64B2A"/>
    <w:rsid w:val="00D65164"/>
    <w:rsid w:val="00D65314"/>
    <w:rsid w:val="00D758E7"/>
    <w:rsid w:val="00D76620"/>
    <w:rsid w:val="00D80AB1"/>
    <w:rsid w:val="00D920AD"/>
    <w:rsid w:val="00D92786"/>
    <w:rsid w:val="00D95B44"/>
    <w:rsid w:val="00DA0A04"/>
    <w:rsid w:val="00DA30F0"/>
    <w:rsid w:val="00DA35A3"/>
    <w:rsid w:val="00DA6C58"/>
    <w:rsid w:val="00DB0394"/>
    <w:rsid w:val="00DB084E"/>
    <w:rsid w:val="00DB0DA9"/>
    <w:rsid w:val="00DB1549"/>
    <w:rsid w:val="00DB4C3A"/>
    <w:rsid w:val="00DC3062"/>
    <w:rsid w:val="00DC61C9"/>
    <w:rsid w:val="00DC6BA0"/>
    <w:rsid w:val="00DC7D9E"/>
    <w:rsid w:val="00DD00FE"/>
    <w:rsid w:val="00DE1D42"/>
    <w:rsid w:val="00DE2474"/>
    <w:rsid w:val="00DE30F2"/>
    <w:rsid w:val="00DE6277"/>
    <w:rsid w:val="00DE6EDF"/>
    <w:rsid w:val="00DE6F92"/>
    <w:rsid w:val="00DF5E56"/>
    <w:rsid w:val="00E02BF9"/>
    <w:rsid w:val="00E42D8F"/>
    <w:rsid w:val="00E45344"/>
    <w:rsid w:val="00E45ED5"/>
    <w:rsid w:val="00E50E03"/>
    <w:rsid w:val="00E5200A"/>
    <w:rsid w:val="00E539E6"/>
    <w:rsid w:val="00E54D8D"/>
    <w:rsid w:val="00E577E4"/>
    <w:rsid w:val="00E62988"/>
    <w:rsid w:val="00E6572E"/>
    <w:rsid w:val="00E67099"/>
    <w:rsid w:val="00E72AA2"/>
    <w:rsid w:val="00E75938"/>
    <w:rsid w:val="00E920CD"/>
    <w:rsid w:val="00E95CC8"/>
    <w:rsid w:val="00E95D3A"/>
    <w:rsid w:val="00E95F22"/>
    <w:rsid w:val="00E962D0"/>
    <w:rsid w:val="00EA006E"/>
    <w:rsid w:val="00EA262C"/>
    <w:rsid w:val="00EA414B"/>
    <w:rsid w:val="00EA4B67"/>
    <w:rsid w:val="00EB3F79"/>
    <w:rsid w:val="00EB71F6"/>
    <w:rsid w:val="00EC73E0"/>
    <w:rsid w:val="00ED33AE"/>
    <w:rsid w:val="00ED51BE"/>
    <w:rsid w:val="00ED5A95"/>
    <w:rsid w:val="00ED69C9"/>
    <w:rsid w:val="00ED6BBD"/>
    <w:rsid w:val="00ED79A5"/>
    <w:rsid w:val="00EE1C0D"/>
    <w:rsid w:val="00EE213F"/>
    <w:rsid w:val="00EE3BAA"/>
    <w:rsid w:val="00EE6273"/>
    <w:rsid w:val="00EE767A"/>
    <w:rsid w:val="00EF02BF"/>
    <w:rsid w:val="00EF335A"/>
    <w:rsid w:val="00EF74C4"/>
    <w:rsid w:val="00F002B6"/>
    <w:rsid w:val="00F021FF"/>
    <w:rsid w:val="00F051C0"/>
    <w:rsid w:val="00F07B9F"/>
    <w:rsid w:val="00F1241F"/>
    <w:rsid w:val="00F12C16"/>
    <w:rsid w:val="00F20D2D"/>
    <w:rsid w:val="00F2288C"/>
    <w:rsid w:val="00F24FA0"/>
    <w:rsid w:val="00F254D1"/>
    <w:rsid w:val="00F263E9"/>
    <w:rsid w:val="00F30470"/>
    <w:rsid w:val="00F341CA"/>
    <w:rsid w:val="00F35663"/>
    <w:rsid w:val="00F35B11"/>
    <w:rsid w:val="00F35E50"/>
    <w:rsid w:val="00F44274"/>
    <w:rsid w:val="00F44B25"/>
    <w:rsid w:val="00F46EE9"/>
    <w:rsid w:val="00F528CC"/>
    <w:rsid w:val="00F57D89"/>
    <w:rsid w:val="00F61B82"/>
    <w:rsid w:val="00F645CE"/>
    <w:rsid w:val="00F65147"/>
    <w:rsid w:val="00F80D0A"/>
    <w:rsid w:val="00F82080"/>
    <w:rsid w:val="00F8338A"/>
    <w:rsid w:val="00F8440C"/>
    <w:rsid w:val="00F876BF"/>
    <w:rsid w:val="00F922DF"/>
    <w:rsid w:val="00F928D6"/>
    <w:rsid w:val="00F92AAA"/>
    <w:rsid w:val="00F93A08"/>
    <w:rsid w:val="00F94566"/>
    <w:rsid w:val="00F95D80"/>
    <w:rsid w:val="00F96429"/>
    <w:rsid w:val="00FA0601"/>
    <w:rsid w:val="00FA11AC"/>
    <w:rsid w:val="00FA2896"/>
    <w:rsid w:val="00FA4A6C"/>
    <w:rsid w:val="00FB1A2B"/>
    <w:rsid w:val="00FB30C0"/>
    <w:rsid w:val="00FB45EE"/>
    <w:rsid w:val="00FC09D0"/>
    <w:rsid w:val="00FC150F"/>
    <w:rsid w:val="00FC352E"/>
    <w:rsid w:val="00FC4018"/>
    <w:rsid w:val="00FD0DB5"/>
    <w:rsid w:val="00FD1A2C"/>
    <w:rsid w:val="00FD2228"/>
    <w:rsid w:val="00FE029D"/>
    <w:rsid w:val="00FE3F93"/>
    <w:rsid w:val="00FE6932"/>
    <w:rsid w:val="00FE7509"/>
    <w:rsid w:val="00FE7F24"/>
    <w:rsid w:val="00FF68E4"/>
    <w:rsid w:val="01590B77"/>
    <w:rsid w:val="017C353E"/>
    <w:rsid w:val="01967E5B"/>
    <w:rsid w:val="01B36982"/>
    <w:rsid w:val="01B43262"/>
    <w:rsid w:val="01B44ECB"/>
    <w:rsid w:val="01C940D0"/>
    <w:rsid w:val="0206233B"/>
    <w:rsid w:val="02134D8E"/>
    <w:rsid w:val="022045EC"/>
    <w:rsid w:val="0226671B"/>
    <w:rsid w:val="022B5692"/>
    <w:rsid w:val="023F363F"/>
    <w:rsid w:val="024F4974"/>
    <w:rsid w:val="02587BBE"/>
    <w:rsid w:val="02880BA7"/>
    <w:rsid w:val="02C00B1B"/>
    <w:rsid w:val="02DC7D3D"/>
    <w:rsid w:val="03247FF8"/>
    <w:rsid w:val="03557F5C"/>
    <w:rsid w:val="0366417B"/>
    <w:rsid w:val="037608A8"/>
    <w:rsid w:val="04112843"/>
    <w:rsid w:val="047745D5"/>
    <w:rsid w:val="04835001"/>
    <w:rsid w:val="048609AE"/>
    <w:rsid w:val="048762D5"/>
    <w:rsid w:val="04973E30"/>
    <w:rsid w:val="04E64C14"/>
    <w:rsid w:val="04F078F2"/>
    <w:rsid w:val="04FF32D7"/>
    <w:rsid w:val="0502642D"/>
    <w:rsid w:val="05065EC8"/>
    <w:rsid w:val="05077CF3"/>
    <w:rsid w:val="0539199B"/>
    <w:rsid w:val="054D7AFE"/>
    <w:rsid w:val="0589556A"/>
    <w:rsid w:val="059A04D8"/>
    <w:rsid w:val="05D666DB"/>
    <w:rsid w:val="06DC683D"/>
    <w:rsid w:val="0722086B"/>
    <w:rsid w:val="07894702"/>
    <w:rsid w:val="078F2DC7"/>
    <w:rsid w:val="07C26F41"/>
    <w:rsid w:val="07D817AA"/>
    <w:rsid w:val="088C5A54"/>
    <w:rsid w:val="0896394A"/>
    <w:rsid w:val="089C76FD"/>
    <w:rsid w:val="08C36C8C"/>
    <w:rsid w:val="08CE6BF8"/>
    <w:rsid w:val="08D9137F"/>
    <w:rsid w:val="08F2471F"/>
    <w:rsid w:val="08F85532"/>
    <w:rsid w:val="095464AD"/>
    <w:rsid w:val="096D194A"/>
    <w:rsid w:val="09A43689"/>
    <w:rsid w:val="09C20F36"/>
    <w:rsid w:val="09C45A82"/>
    <w:rsid w:val="09D459C7"/>
    <w:rsid w:val="09D96D67"/>
    <w:rsid w:val="09D9728E"/>
    <w:rsid w:val="09E753CF"/>
    <w:rsid w:val="09F73738"/>
    <w:rsid w:val="09FF7C09"/>
    <w:rsid w:val="0A0046C7"/>
    <w:rsid w:val="0A121F85"/>
    <w:rsid w:val="0A2711FE"/>
    <w:rsid w:val="0A2D5B88"/>
    <w:rsid w:val="0A571F47"/>
    <w:rsid w:val="0A76117B"/>
    <w:rsid w:val="0A763BE9"/>
    <w:rsid w:val="0A995159"/>
    <w:rsid w:val="0A9A3E42"/>
    <w:rsid w:val="0ABF0394"/>
    <w:rsid w:val="0AF66D40"/>
    <w:rsid w:val="0B2762CD"/>
    <w:rsid w:val="0B4A2D18"/>
    <w:rsid w:val="0B6C7201"/>
    <w:rsid w:val="0B835B3D"/>
    <w:rsid w:val="0B925B0F"/>
    <w:rsid w:val="0B926F8C"/>
    <w:rsid w:val="0BA6004B"/>
    <w:rsid w:val="0BAC065B"/>
    <w:rsid w:val="0BBE3409"/>
    <w:rsid w:val="0BC80ADC"/>
    <w:rsid w:val="0BE20851"/>
    <w:rsid w:val="0BFD2067"/>
    <w:rsid w:val="0C1E2A66"/>
    <w:rsid w:val="0C384CED"/>
    <w:rsid w:val="0C780669"/>
    <w:rsid w:val="0CAD36CE"/>
    <w:rsid w:val="0CF223F9"/>
    <w:rsid w:val="0D0C4392"/>
    <w:rsid w:val="0D0D621D"/>
    <w:rsid w:val="0D413FF0"/>
    <w:rsid w:val="0D4B546B"/>
    <w:rsid w:val="0D9160C4"/>
    <w:rsid w:val="0DAC29DE"/>
    <w:rsid w:val="0DE00D06"/>
    <w:rsid w:val="0DE837D2"/>
    <w:rsid w:val="0DF03BCF"/>
    <w:rsid w:val="0E032000"/>
    <w:rsid w:val="0E2F2464"/>
    <w:rsid w:val="0E344B65"/>
    <w:rsid w:val="0E494D5A"/>
    <w:rsid w:val="0E4D6250"/>
    <w:rsid w:val="0E4F0040"/>
    <w:rsid w:val="0E557CCB"/>
    <w:rsid w:val="0E6031DF"/>
    <w:rsid w:val="0EAE3951"/>
    <w:rsid w:val="0EAF6EF2"/>
    <w:rsid w:val="0EB36DE8"/>
    <w:rsid w:val="0EC816DB"/>
    <w:rsid w:val="0EC91CFF"/>
    <w:rsid w:val="0F28581D"/>
    <w:rsid w:val="0F2C70A5"/>
    <w:rsid w:val="0F482A9A"/>
    <w:rsid w:val="0F652384"/>
    <w:rsid w:val="0F845D44"/>
    <w:rsid w:val="0F8805FC"/>
    <w:rsid w:val="0FA5108E"/>
    <w:rsid w:val="0FB408D3"/>
    <w:rsid w:val="10143D6B"/>
    <w:rsid w:val="102E4055"/>
    <w:rsid w:val="103A6A57"/>
    <w:rsid w:val="10583655"/>
    <w:rsid w:val="10585F3F"/>
    <w:rsid w:val="107367B3"/>
    <w:rsid w:val="10866A18"/>
    <w:rsid w:val="108D7320"/>
    <w:rsid w:val="10C44895"/>
    <w:rsid w:val="10E53A02"/>
    <w:rsid w:val="10F66BC4"/>
    <w:rsid w:val="10FC4567"/>
    <w:rsid w:val="110356FD"/>
    <w:rsid w:val="11092EE2"/>
    <w:rsid w:val="11247967"/>
    <w:rsid w:val="11306A27"/>
    <w:rsid w:val="114841A9"/>
    <w:rsid w:val="11495A47"/>
    <w:rsid w:val="11AB6603"/>
    <w:rsid w:val="11EC5A60"/>
    <w:rsid w:val="122648BF"/>
    <w:rsid w:val="123E71BB"/>
    <w:rsid w:val="12606191"/>
    <w:rsid w:val="127D2637"/>
    <w:rsid w:val="12860A8C"/>
    <w:rsid w:val="129E3942"/>
    <w:rsid w:val="12C339A5"/>
    <w:rsid w:val="12C91DA8"/>
    <w:rsid w:val="12F67EB9"/>
    <w:rsid w:val="133B1EE9"/>
    <w:rsid w:val="133B4C43"/>
    <w:rsid w:val="135F0499"/>
    <w:rsid w:val="136A0C94"/>
    <w:rsid w:val="139A5539"/>
    <w:rsid w:val="13A11421"/>
    <w:rsid w:val="140E0DBA"/>
    <w:rsid w:val="141838B2"/>
    <w:rsid w:val="141A05B9"/>
    <w:rsid w:val="143C72B6"/>
    <w:rsid w:val="14A601A4"/>
    <w:rsid w:val="14BF1B76"/>
    <w:rsid w:val="14E10F60"/>
    <w:rsid w:val="14E448E6"/>
    <w:rsid w:val="14F36F92"/>
    <w:rsid w:val="15022B38"/>
    <w:rsid w:val="15210AAD"/>
    <w:rsid w:val="152D5317"/>
    <w:rsid w:val="158E7CF7"/>
    <w:rsid w:val="159329FE"/>
    <w:rsid w:val="15C15899"/>
    <w:rsid w:val="15D7665C"/>
    <w:rsid w:val="15F70E46"/>
    <w:rsid w:val="16224FF8"/>
    <w:rsid w:val="16414E30"/>
    <w:rsid w:val="16592666"/>
    <w:rsid w:val="165E2463"/>
    <w:rsid w:val="16830B61"/>
    <w:rsid w:val="16A007DE"/>
    <w:rsid w:val="16BA2410"/>
    <w:rsid w:val="171C360E"/>
    <w:rsid w:val="171C5423"/>
    <w:rsid w:val="17260D45"/>
    <w:rsid w:val="178769E5"/>
    <w:rsid w:val="17C12E5E"/>
    <w:rsid w:val="17D03A93"/>
    <w:rsid w:val="17ED3E3E"/>
    <w:rsid w:val="17FD2905"/>
    <w:rsid w:val="18015A34"/>
    <w:rsid w:val="183E4670"/>
    <w:rsid w:val="18537F8B"/>
    <w:rsid w:val="1888681D"/>
    <w:rsid w:val="18A9406E"/>
    <w:rsid w:val="18EC15B7"/>
    <w:rsid w:val="18EF2B5E"/>
    <w:rsid w:val="19263D94"/>
    <w:rsid w:val="19574D65"/>
    <w:rsid w:val="196870D9"/>
    <w:rsid w:val="199D3C3C"/>
    <w:rsid w:val="19C21BD8"/>
    <w:rsid w:val="19D64731"/>
    <w:rsid w:val="19F85358"/>
    <w:rsid w:val="1A027E8C"/>
    <w:rsid w:val="1A25181B"/>
    <w:rsid w:val="1A2A16DA"/>
    <w:rsid w:val="1A3A141D"/>
    <w:rsid w:val="1A5079FB"/>
    <w:rsid w:val="1A5A53E2"/>
    <w:rsid w:val="1A704E60"/>
    <w:rsid w:val="1A831D38"/>
    <w:rsid w:val="1A8530D9"/>
    <w:rsid w:val="1A88632F"/>
    <w:rsid w:val="1A915BFF"/>
    <w:rsid w:val="1AA87761"/>
    <w:rsid w:val="1AC13A6F"/>
    <w:rsid w:val="1B06174A"/>
    <w:rsid w:val="1B3D3D89"/>
    <w:rsid w:val="1B910E89"/>
    <w:rsid w:val="1BC05AC4"/>
    <w:rsid w:val="1BCC255A"/>
    <w:rsid w:val="1C274C0B"/>
    <w:rsid w:val="1C3D731A"/>
    <w:rsid w:val="1C49727D"/>
    <w:rsid w:val="1C7A35AB"/>
    <w:rsid w:val="1CA9373B"/>
    <w:rsid w:val="1CBE6F97"/>
    <w:rsid w:val="1CDA5E71"/>
    <w:rsid w:val="1CF74A00"/>
    <w:rsid w:val="1CFA601C"/>
    <w:rsid w:val="1D015DD7"/>
    <w:rsid w:val="1D1A20F3"/>
    <w:rsid w:val="1D2C7771"/>
    <w:rsid w:val="1D340205"/>
    <w:rsid w:val="1D3E5F64"/>
    <w:rsid w:val="1D6A659A"/>
    <w:rsid w:val="1DB73EAE"/>
    <w:rsid w:val="1DBA6746"/>
    <w:rsid w:val="1DE02E18"/>
    <w:rsid w:val="1E056B65"/>
    <w:rsid w:val="1E0F2B76"/>
    <w:rsid w:val="1E127FC0"/>
    <w:rsid w:val="1E1B57FC"/>
    <w:rsid w:val="1E221C61"/>
    <w:rsid w:val="1E6E5711"/>
    <w:rsid w:val="1E6F30A4"/>
    <w:rsid w:val="1E753DEB"/>
    <w:rsid w:val="1E833216"/>
    <w:rsid w:val="1EA57622"/>
    <w:rsid w:val="1ECD19E5"/>
    <w:rsid w:val="1ED72348"/>
    <w:rsid w:val="1EF5105E"/>
    <w:rsid w:val="1F310B5C"/>
    <w:rsid w:val="1F3473B7"/>
    <w:rsid w:val="1F37702E"/>
    <w:rsid w:val="1F56737E"/>
    <w:rsid w:val="1F7C1F58"/>
    <w:rsid w:val="1F9168AF"/>
    <w:rsid w:val="1FF40075"/>
    <w:rsid w:val="1FFD0DF3"/>
    <w:rsid w:val="20273E0A"/>
    <w:rsid w:val="206436D3"/>
    <w:rsid w:val="209111D2"/>
    <w:rsid w:val="20C26D09"/>
    <w:rsid w:val="20C415F2"/>
    <w:rsid w:val="20D516B1"/>
    <w:rsid w:val="20D67E6F"/>
    <w:rsid w:val="20F832A2"/>
    <w:rsid w:val="213E47FE"/>
    <w:rsid w:val="21B257C2"/>
    <w:rsid w:val="220470C4"/>
    <w:rsid w:val="22595DA2"/>
    <w:rsid w:val="22822287"/>
    <w:rsid w:val="2292469C"/>
    <w:rsid w:val="22A946DA"/>
    <w:rsid w:val="232C167A"/>
    <w:rsid w:val="233B626F"/>
    <w:rsid w:val="233F19C4"/>
    <w:rsid w:val="23507A0F"/>
    <w:rsid w:val="237E1728"/>
    <w:rsid w:val="23A23624"/>
    <w:rsid w:val="23A70365"/>
    <w:rsid w:val="23F1020B"/>
    <w:rsid w:val="23FE3D03"/>
    <w:rsid w:val="23FF7C69"/>
    <w:rsid w:val="24096475"/>
    <w:rsid w:val="245414BB"/>
    <w:rsid w:val="246751DC"/>
    <w:rsid w:val="24753A56"/>
    <w:rsid w:val="248E38BF"/>
    <w:rsid w:val="24C23D16"/>
    <w:rsid w:val="24D93EC5"/>
    <w:rsid w:val="24EE0757"/>
    <w:rsid w:val="25643095"/>
    <w:rsid w:val="257D1F95"/>
    <w:rsid w:val="2589180B"/>
    <w:rsid w:val="25AA4407"/>
    <w:rsid w:val="25BE7BFC"/>
    <w:rsid w:val="25D90960"/>
    <w:rsid w:val="26052199"/>
    <w:rsid w:val="262F2519"/>
    <w:rsid w:val="26396455"/>
    <w:rsid w:val="2647354B"/>
    <w:rsid w:val="267062FC"/>
    <w:rsid w:val="26802700"/>
    <w:rsid w:val="26B91DEF"/>
    <w:rsid w:val="26CA17B0"/>
    <w:rsid w:val="26E16F83"/>
    <w:rsid w:val="271F355D"/>
    <w:rsid w:val="275F1239"/>
    <w:rsid w:val="276729F4"/>
    <w:rsid w:val="27722D8F"/>
    <w:rsid w:val="27742D5A"/>
    <w:rsid w:val="278B621A"/>
    <w:rsid w:val="27A66BF5"/>
    <w:rsid w:val="27D1135E"/>
    <w:rsid w:val="27E235BD"/>
    <w:rsid w:val="27EE2CE9"/>
    <w:rsid w:val="28415039"/>
    <w:rsid w:val="2857172C"/>
    <w:rsid w:val="289A75FF"/>
    <w:rsid w:val="28B36112"/>
    <w:rsid w:val="28F56785"/>
    <w:rsid w:val="29013BE8"/>
    <w:rsid w:val="293B05ED"/>
    <w:rsid w:val="29457EDC"/>
    <w:rsid w:val="29882D72"/>
    <w:rsid w:val="29C969FF"/>
    <w:rsid w:val="29D530A8"/>
    <w:rsid w:val="29EC5AE0"/>
    <w:rsid w:val="29FA0715"/>
    <w:rsid w:val="29FB088E"/>
    <w:rsid w:val="2A1E60AA"/>
    <w:rsid w:val="2A8D6505"/>
    <w:rsid w:val="2A9F1CB9"/>
    <w:rsid w:val="2AA91A8D"/>
    <w:rsid w:val="2AEF631D"/>
    <w:rsid w:val="2AF45387"/>
    <w:rsid w:val="2AF56AF0"/>
    <w:rsid w:val="2B183BF9"/>
    <w:rsid w:val="2B2B50EB"/>
    <w:rsid w:val="2B317B9A"/>
    <w:rsid w:val="2B696FEF"/>
    <w:rsid w:val="2B7F6556"/>
    <w:rsid w:val="2BA301A4"/>
    <w:rsid w:val="2BAB6069"/>
    <w:rsid w:val="2BCC1B29"/>
    <w:rsid w:val="2BE07D6D"/>
    <w:rsid w:val="2C3663F8"/>
    <w:rsid w:val="2C452653"/>
    <w:rsid w:val="2C4859FC"/>
    <w:rsid w:val="2C56407B"/>
    <w:rsid w:val="2C6510F9"/>
    <w:rsid w:val="2C6B598E"/>
    <w:rsid w:val="2C8D65D6"/>
    <w:rsid w:val="2CBE0E56"/>
    <w:rsid w:val="2CF002A8"/>
    <w:rsid w:val="2CF751D3"/>
    <w:rsid w:val="2D072338"/>
    <w:rsid w:val="2D0F76ED"/>
    <w:rsid w:val="2D32279D"/>
    <w:rsid w:val="2D4B2F8F"/>
    <w:rsid w:val="2D655138"/>
    <w:rsid w:val="2D80645F"/>
    <w:rsid w:val="2DA853C9"/>
    <w:rsid w:val="2DB339A1"/>
    <w:rsid w:val="2E0B6FC2"/>
    <w:rsid w:val="2E270598"/>
    <w:rsid w:val="2E521734"/>
    <w:rsid w:val="2E8958AB"/>
    <w:rsid w:val="2EBF2C9A"/>
    <w:rsid w:val="2EEA5ADB"/>
    <w:rsid w:val="2EF6292B"/>
    <w:rsid w:val="2F18364A"/>
    <w:rsid w:val="2F541F4C"/>
    <w:rsid w:val="2F5C0D58"/>
    <w:rsid w:val="2F5D4F7D"/>
    <w:rsid w:val="2FF53BBD"/>
    <w:rsid w:val="3026174F"/>
    <w:rsid w:val="303A7514"/>
    <w:rsid w:val="304370AC"/>
    <w:rsid w:val="307465DE"/>
    <w:rsid w:val="308A075C"/>
    <w:rsid w:val="309652C9"/>
    <w:rsid w:val="30A1384C"/>
    <w:rsid w:val="30A43392"/>
    <w:rsid w:val="30A505FB"/>
    <w:rsid w:val="30B96309"/>
    <w:rsid w:val="30DD2F65"/>
    <w:rsid w:val="30ED11B6"/>
    <w:rsid w:val="30EE3EE1"/>
    <w:rsid w:val="30FC71DD"/>
    <w:rsid w:val="31670EA5"/>
    <w:rsid w:val="31913151"/>
    <w:rsid w:val="3197692C"/>
    <w:rsid w:val="31E17995"/>
    <w:rsid w:val="321D4CD1"/>
    <w:rsid w:val="32447FB8"/>
    <w:rsid w:val="32841625"/>
    <w:rsid w:val="3294300C"/>
    <w:rsid w:val="32AF23AD"/>
    <w:rsid w:val="32D5033B"/>
    <w:rsid w:val="32E21BA4"/>
    <w:rsid w:val="330B0D78"/>
    <w:rsid w:val="337F26F8"/>
    <w:rsid w:val="33CC5BDE"/>
    <w:rsid w:val="33CE0E50"/>
    <w:rsid w:val="33EC43B8"/>
    <w:rsid w:val="343A7394"/>
    <w:rsid w:val="34450B52"/>
    <w:rsid w:val="34805742"/>
    <w:rsid w:val="34A76A2A"/>
    <w:rsid w:val="34FE27E6"/>
    <w:rsid w:val="351873DA"/>
    <w:rsid w:val="3549332F"/>
    <w:rsid w:val="356A2CED"/>
    <w:rsid w:val="357116C9"/>
    <w:rsid w:val="35762F61"/>
    <w:rsid w:val="35B15A92"/>
    <w:rsid w:val="35D16FC0"/>
    <w:rsid w:val="35DB30BC"/>
    <w:rsid w:val="35F14B9B"/>
    <w:rsid w:val="35F24CF8"/>
    <w:rsid w:val="35F55052"/>
    <w:rsid w:val="361A526C"/>
    <w:rsid w:val="361B07F2"/>
    <w:rsid w:val="36775DF2"/>
    <w:rsid w:val="368B64C1"/>
    <w:rsid w:val="36951D62"/>
    <w:rsid w:val="369B29A0"/>
    <w:rsid w:val="36AC716F"/>
    <w:rsid w:val="36B37131"/>
    <w:rsid w:val="36C873ED"/>
    <w:rsid w:val="36CD0FC2"/>
    <w:rsid w:val="36E268D9"/>
    <w:rsid w:val="36F6227F"/>
    <w:rsid w:val="37DA4756"/>
    <w:rsid w:val="37E6308B"/>
    <w:rsid w:val="37E84F5F"/>
    <w:rsid w:val="37EE6D7C"/>
    <w:rsid w:val="38290E96"/>
    <w:rsid w:val="382B187C"/>
    <w:rsid w:val="382C25FA"/>
    <w:rsid w:val="38651CCB"/>
    <w:rsid w:val="38731009"/>
    <w:rsid w:val="387A0988"/>
    <w:rsid w:val="387D5430"/>
    <w:rsid w:val="389B569F"/>
    <w:rsid w:val="38A92001"/>
    <w:rsid w:val="39123E2E"/>
    <w:rsid w:val="391D581A"/>
    <w:rsid w:val="39563B53"/>
    <w:rsid w:val="39870AA6"/>
    <w:rsid w:val="398D023C"/>
    <w:rsid w:val="398D0B6F"/>
    <w:rsid w:val="39B52D71"/>
    <w:rsid w:val="39C61946"/>
    <w:rsid w:val="39CB51CD"/>
    <w:rsid w:val="3A5D5E90"/>
    <w:rsid w:val="3A6510A3"/>
    <w:rsid w:val="3A7B7594"/>
    <w:rsid w:val="3AA959DE"/>
    <w:rsid w:val="3AB25C38"/>
    <w:rsid w:val="3AB4620C"/>
    <w:rsid w:val="3ACA7F87"/>
    <w:rsid w:val="3B4C534F"/>
    <w:rsid w:val="3B7B1C67"/>
    <w:rsid w:val="3B8E4364"/>
    <w:rsid w:val="3B980B27"/>
    <w:rsid w:val="3BC15F76"/>
    <w:rsid w:val="3BD94849"/>
    <w:rsid w:val="3C264142"/>
    <w:rsid w:val="3C414A16"/>
    <w:rsid w:val="3C69629E"/>
    <w:rsid w:val="3C6A5C66"/>
    <w:rsid w:val="3C9272D7"/>
    <w:rsid w:val="3CC26681"/>
    <w:rsid w:val="3D413D92"/>
    <w:rsid w:val="3D9F0DC4"/>
    <w:rsid w:val="3DF42724"/>
    <w:rsid w:val="3E730A00"/>
    <w:rsid w:val="3E791468"/>
    <w:rsid w:val="3E8F4EEC"/>
    <w:rsid w:val="3EB27098"/>
    <w:rsid w:val="3EF613FD"/>
    <w:rsid w:val="3F014668"/>
    <w:rsid w:val="3F0C1998"/>
    <w:rsid w:val="3F1E2ECF"/>
    <w:rsid w:val="3F363765"/>
    <w:rsid w:val="3F845328"/>
    <w:rsid w:val="3FAA2878"/>
    <w:rsid w:val="3FB07735"/>
    <w:rsid w:val="3FB62EE7"/>
    <w:rsid w:val="3FC75017"/>
    <w:rsid w:val="40145335"/>
    <w:rsid w:val="403317D4"/>
    <w:rsid w:val="403E45A8"/>
    <w:rsid w:val="40A0346C"/>
    <w:rsid w:val="41197F18"/>
    <w:rsid w:val="412F679A"/>
    <w:rsid w:val="4140591C"/>
    <w:rsid w:val="414A1C2B"/>
    <w:rsid w:val="416E4D87"/>
    <w:rsid w:val="417D24FD"/>
    <w:rsid w:val="417E528B"/>
    <w:rsid w:val="41AE67F6"/>
    <w:rsid w:val="41BD2C0B"/>
    <w:rsid w:val="41E406D9"/>
    <w:rsid w:val="41F85246"/>
    <w:rsid w:val="426A41C9"/>
    <w:rsid w:val="426B5231"/>
    <w:rsid w:val="42E90F86"/>
    <w:rsid w:val="431D647F"/>
    <w:rsid w:val="433221FF"/>
    <w:rsid w:val="4340683A"/>
    <w:rsid w:val="434A0AB0"/>
    <w:rsid w:val="43721C07"/>
    <w:rsid w:val="437F1EF2"/>
    <w:rsid w:val="4406538C"/>
    <w:rsid w:val="4439296E"/>
    <w:rsid w:val="443C49FA"/>
    <w:rsid w:val="443E649E"/>
    <w:rsid w:val="446873FB"/>
    <w:rsid w:val="44912BEB"/>
    <w:rsid w:val="44A92BF3"/>
    <w:rsid w:val="44F1558F"/>
    <w:rsid w:val="450044D0"/>
    <w:rsid w:val="4506119F"/>
    <w:rsid w:val="45140FEE"/>
    <w:rsid w:val="452C1A00"/>
    <w:rsid w:val="453B11AC"/>
    <w:rsid w:val="45425D03"/>
    <w:rsid w:val="45451EC1"/>
    <w:rsid w:val="45517C07"/>
    <w:rsid w:val="45541615"/>
    <w:rsid w:val="45673F6D"/>
    <w:rsid w:val="456844A5"/>
    <w:rsid w:val="459157E1"/>
    <w:rsid w:val="45B14804"/>
    <w:rsid w:val="45B70E6F"/>
    <w:rsid w:val="45BA3253"/>
    <w:rsid w:val="460978EA"/>
    <w:rsid w:val="462A5709"/>
    <w:rsid w:val="462D7D9A"/>
    <w:rsid w:val="466B51CF"/>
    <w:rsid w:val="46A77BA3"/>
    <w:rsid w:val="46E128E1"/>
    <w:rsid w:val="46E143A4"/>
    <w:rsid w:val="46EF2A2E"/>
    <w:rsid w:val="471C68D3"/>
    <w:rsid w:val="47643EC9"/>
    <w:rsid w:val="4778497C"/>
    <w:rsid w:val="47A674B4"/>
    <w:rsid w:val="47DB610B"/>
    <w:rsid w:val="47DE467E"/>
    <w:rsid w:val="47E20BC3"/>
    <w:rsid w:val="47EC3502"/>
    <w:rsid w:val="47ED41AA"/>
    <w:rsid w:val="483F116A"/>
    <w:rsid w:val="48BC4D89"/>
    <w:rsid w:val="48C249BB"/>
    <w:rsid w:val="48C31872"/>
    <w:rsid w:val="48DE5BC1"/>
    <w:rsid w:val="48EF5FA5"/>
    <w:rsid w:val="491444C5"/>
    <w:rsid w:val="494A4AEB"/>
    <w:rsid w:val="494F43B2"/>
    <w:rsid w:val="497C7419"/>
    <w:rsid w:val="498C301C"/>
    <w:rsid w:val="49D400AC"/>
    <w:rsid w:val="49E93626"/>
    <w:rsid w:val="49EA1FB5"/>
    <w:rsid w:val="49FC7FB5"/>
    <w:rsid w:val="49FD4888"/>
    <w:rsid w:val="4A206C8B"/>
    <w:rsid w:val="4A252182"/>
    <w:rsid w:val="4A2F32D2"/>
    <w:rsid w:val="4A382AF3"/>
    <w:rsid w:val="4AAD3E0F"/>
    <w:rsid w:val="4AE10E87"/>
    <w:rsid w:val="4B056179"/>
    <w:rsid w:val="4B056FF2"/>
    <w:rsid w:val="4B4102BA"/>
    <w:rsid w:val="4B985DB0"/>
    <w:rsid w:val="4BB431F4"/>
    <w:rsid w:val="4BE24F77"/>
    <w:rsid w:val="4BE31A65"/>
    <w:rsid w:val="4C0F5C4D"/>
    <w:rsid w:val="4C2D178D"/>
    <w:rsid w:val="4C326294"/>
    <w:rsid w:val="4C545DD0"/>
    <w:rsid w:val="4C60419B"/>
    <w:rsid w:val="4C622BF3"/>
    <w:rsid w:val="4C880AEA"/>
    <w:rsid w:val="4CA4528E"/>
    <w:rsid w:val="4CA91B92"/>
    <w:rsid w:val="4CC17E30"/>
    <w:rsid w:val="4CCA103A"/>
    <w:rsid w:val="4CD43BD7"/>
    <w:rsid w:val="4CEF3B38"/>
    <w:rsid w:val="4D154952"/>
    <w:rsid w:val="4D2F3E9E"/>
    <w:rsid w:val="4D4061CA"/>
    <w:rsid w:val="4D6A4F3A"/>
    <w:rsid w:val="4D7E1065"/>
    <w:rsid w:val="4D87392D"/>
    <w:rsid w:val="4D9628DE"/>
    <w:rsid w:val="4D973AAD"/>
    <w:rsid w:val="4DC55DC6"/>
    <w:rsid w:val="4DEA5869"/>
    <w:rsid w:val="4E0F201B"/>
    <w:rsid w:val="4E3E6923"/>
    <w:rsid w:val="4E4E6B83"/>
    <w:rsid w:val="4E563487"/>
    <w:rsid w:val="4EA67FEB"/>
    <w:rsid w:val="4EAE2282"/>
    <w:rsid w:val="4EC56308"/>
    <w:rsid w:val="4ED5409B"/>
    <w:rsid w:val="4F3421D7"/>
    <w:rsid w:val="4F495CDC"/>
    <w:rsid w:val="4F6C5FDE"/>
    <w:rsid w:val="4F6F11F6"/>
    <w:rsid w:val="4F8D02F5"/>
    <w:rsid w:val="4FBA696D"/>
    <w:rsid w:val="4FD347D9"/>
    <w:rsid w:val="4FF024AD"/>
    <w:rsid w:val="500B29A8"/>
    <w:rsid w:val="50134620"/>
    <w:rsid w:val="5021758C"/>
    <w:rsid w:val="503559F7"/>
    <w:rsid w:val="50560EF6"/>
    <w:rsid w:val="50B56593"/>
    <w:rsid w:val="50CD7386"/>
    <w:rsid w:val="50D45E14"/>
    <w:rsid w:val="5146747A"/>
    <w:rsid w:val="516A5005"/>
    <w:rsid w:val="516B5243"/>
    <w:rsid w:val="517D7892"/>
    <w:rsid w:val="51837B58"/>
    <w:rsid w:val="519D3208"/>
    <w:rsid w:val="51B72E5C"/>
    <w:rsid w:val="51F44951"/>
    <w:rsid w:val="523C3D38"/>
    <w:rsid w:val="52707D86"/>
    <w:rsid w:val="52745FC9"/>
    <w:rsid w:val="52874777"/>
    <w:rsid w:val="529F3962"/>
    <w:rsid w:val="52BA25C0"/>
    <w:rsid w:val="53203BAF"/>
    <w:rsid w:val="53B66863"/>
    <w:rsid w:val="53DA03F4"/>
    <w:rsid w:val="53FA3897"/>
    <w:rsid w:val="548C43F6"/>
    <w:rsid w:val="54B03F40"/>
    <w:rsid w:val="54E349B9"/>
    <w:rsid w:val="54EE01E9"/>
    <w:rsid w:val="54F464D9"/>
    <w:rsid w:val="54F53113"/>
    <w:rsid w:val="55535548"/>
    <w:rsid w:val="55687EA2"/>
    <w:rsid w:val="55876D68"/>
    <w:rsid w:val="558D53CD"/>
    <w:rsid w:val="55BC687A"/>
    <w:rsid w:val="55CC111C"/>
    <w:rsid w:val="55DC36F6"/>
    <w:rsid w:val="562F71A7"/>
    <w:rsid w:val="565F5DEA"/>
    <w:rsid w:val="56661669"/>
    <w:rsid w:val="567366FA"/>
    <w:rsid w:val="56833FF6"/>
    <w:rsid w:val="56D01324"/>
    <w:rsid w:val="57A1286D"/>
    <w:rsid w:val="57A554E2"/>
    <w:rsid w:val="581949DE"/>
    <w:rsid w:val="582B4B83"/>
    <w:rsid w:val="58387BEA"/>
    <w:rsid w:val="589B691C"/>
    <w:rsid w:val="58B21AFA"/>
    <w:rsid w:val="58C525ED"/>
    <w:rsid w:val="58D63F9E"/>
    <w:rsid w:val="58F856FA"/>
    <w:rsid w:val="590650AA"/>
    <w:rsid w:val="59997738"/>
    <w:rsid w:val="599A2F5F"/>
    <w:rsid w:val="599C60E5"/>
    <w:rsid w:val="59A5312F"/>
    <w:rsid w:val="5A1C2875"/>
    <w:rsid w:val="5A2A635C"/>
    <w:rsid w:val="5A75262C"/>
    <w:rsid w:val="5ABA227B"/>
    <w:rsid w:val="5AC6181F"/>
    <w:rsid w:val="5AD13BBA"/>
    <w:rsid w:val="5AD56BB7"/>
    <w:rsid w:val="5B21073F"/>
    <w:rsid w:val="5B48543C"/>
    <w:rsid w:val="5B514B96"/>
    <w:rsid w:val="5B782051"/>
    <w:rsid w:val="5B9E1693"/>
    <w:rsid w:val="5BAF311A"/>
    <w:rsid w:val="5BB836C0"/>
    <w:rsid w:val="5BEE42DB"/>
    <w:rsid w:val="5BF61377"/>
    <w:rsid w:val="5C0F4CAB"/>
    <w:rsid w:val="5C106AD0"/>
    <w:rsid w:val="5C1A1BD9"/>
    <w:rsid w:val="5C2613FD"/>
    <w:rsid w:val="5C482C12"/>
    <w:rsid w:val="5C4E47E0"/>
    <w:rsid w:val="5C947DA0"/>
    <w:rsid w:val="5C9D1054"/>
    <w:rsid w:val="5CB14987"/>
    <w:rsid w:val="5CDB469D"/>
    <w:rsid w:val="5CEE2FDE"/>
    <w:rsid w:val="5D23515A"/>
    <w:rsid w:val="5D8E656E"/>
    <w:rsid w:val="5D9A374D"/>
    <w:rsid w:val="5E071CF3"/>
    <w:rsid w:val="5EBE5FBC"/>
    <w:rsid w:val="5EEB6C18"/>
    <w:rsid w:val="5EEF0D58"/>
    <w:rsid w:val="5F0272AB"/>
    <w:rsid w:val="5F691E19"/>
    <w:rsid w:val="5F884AE8"/>
    <w:rsid w:val="5FA22AB2"/>
    <w:rsid w:val="5FAD417D"/>
    <w:rsid w:val="5FC34A8A"/>
    <w:rsid w:val="5FC736FC"/>
    <w:rsid w:val="5FF24388"/>
    <w:rsid w:val="5FF61146"/>
    <w:rsid w:val="602F331F"/>
    <w:rsid w:val="606B2ADB"/>
    <w:rsid w:val="60FD190B"/>
    <w:rsid w:val="61043FEC"/>
    <w:rsid w:val="61065FD0"/>
    <w:rsid w:val="612157FF"/>
    <w:rsid w:val="612F31A2"/>
    <w:rsid w:val="613A235A"/>
    <w:rsid w:val="61421981"/>
    <w:rsid w:val="616761E8"/>
    <w:rsid w:val="616B0B4B"/>
    <w:rsid w:val="61741324"/>
    <w:rsid w:val="61B63AB1"/>
    <w:rsid w:val="61BA46F7"/>
    <w:rsid w:val="61DB36C4"/>
    <w:rsid w:val="61E6022A"/>
    <w:rsid w:val="61F2439D"/>
    <w:rsid w:val="61F41A38"/>
    <w:rsid w:val="61FD61B6"/>
    <w:rsid w:val="62237492"/>
    <w:rsid w:val="625A6983"/>
    <w:rsid w:val="6297183C"/>
    <w:rsid w:val="62A111EC"/>
    <w:rsid w:val="62CC3656"/>
    <w:rsid w:val="63217777"/>
    <w:rsid w:val="633133D5"/>
    <w:rsid w:val="63447A8F"/>
    <w:rsid w:val="63B11C43"/>
    <w:rsid w:val="63C2064C"/>
    <w:rsid w:val="63C219C3"/>
    <w:rsid w:val="63DD23BD"/>
    <w:rsid w:val="642B1C4B"/>
    <w:rsid w:val="64446336"/>
    <w:rsid w:val="64681729"/>
    <w:rsid w:val="648802C5"/>
    <w:rsid w:val="64D76FA4"/>
    <w:rsid w:val="64F13705"/>
    <w:rsid w:val="64F527B8"/>
    <w:rsid w:val="65686B85"/>
    <w:rsid w:val="657C4261"/>
    <w:rsid w:val="659A6CFB"/>
    <w:rsid w:val="659D7A74"/>
    <w:rsid w:val="65E526D9"/>
    <w:rsid w:val="66464BD7"/>
    <w:rsid w:val="66520819"/>
    <w:rsid w:val="665D53AF"/>
    <w:rsid w:val="668E688A"/>
    <w:rsid w:val="66A07D65"/>
    <w:rsid w:val="66C55A02"/>
    <w:rsid w:val="676D7667"/>
    <w:rsid w:val="6787683D"/>
    <w:rsid w:val="678E50F7"/>
    <w:rsid w:val="67C35041"/>
    <w:rsid w:val="67C57A71"/>
    <w:rsid w:val="67E44F9E"/>
    <w:rsid w:val="67E86A35"/>
    <w:rsid w:val="67FA54ED"/>
    <w:rsid w:val="68031D57"/>
    <w:rsid w:val="681447AC"/>
    <w:rsid w:val="683703C9"/>
    <w:rsid w:val="68451255"/>
    <w:rsid w:val="68915B05"/>
    <w:rsid w:val="68962E30"/>
    <w:rsid w:val="68AF3231"/>
    <w:rsid w:val="68B02C01"/>
    <w:rsid w:val="68D0045D"/>
    <w:rsid w:val="68FD4E08"/>
    <w:rsid w:val="692E2CD8"/>
    <w:rsid w:val="693E5A2B"/>
    <w:rsid w:val="694A110D"/>
    <w:rsid w:val="694C61BD"/>
    <w:rsid w:val="6977615E"/>
    <w:rsid w:val="69A117D8"/>
    <w:rsid w:val="69AF3A10"/>
    <w:rsid w:val="69C879BE"/>
    <w:rsid w:val="69CF53DD"/>
    <w:rsid w:val="6A3A3C61"/>
    <w:rsid w:val="6A533AA2"/>
    <w:rsid w:val="6A5A2150"/>
    <w:rsid w:val="6A7E11BB"/>
    <w:rsid w:val="6A8C469A"/>
    <w:rsid w:val="6A8F2B50"/>
    <w:rsid w:val="6A98355D"/>
    <w:rsid w:val="6AD57F94"/>
    <w:rsid w:val="6B3C6C72"/>
    <w:rsid w:val="6B7B19C8"/>
    <w:rsid w:val="6BA4598D"/>
    <w:rsid w:val="6BA928EB"/>
    <w:rsid w:val="6BD56CDB"/>
    <w:rsid w:val="6BE26700"/>
    <w:rsid w:val="6BF54B38"/>
    <w:rsid w:val="6C020C45"/>
    <w:rsid w:val="6C17608C"/>
    <w:rsid w:val="6C3B76AB"/>
    <w:rsid w:val="6C5A392D"/>
    <w:rsid w:val="6C902226"/>
    <w:rsid w:val="6CAB4603"/>
    <w:rsid w:val="6CBB1E1C"/>
    <w:rsid w:val="6CD43AFA"/>
    <w:rsid w:val="6CD94AF1"/>
    <w:rsid w:val="6CF51D79"/>
    <w:rsid w:val="6D190FBE"/>
    <w:rsid w:val="6D787624"/>
    <w:rsid w:val="6D7D5222"/>
    <w:rsid w:val="6D803438"/>
    <w:rsid w:val="6D853E98"/>
    <w:rsid w:val="6D892FB7"/>
    <w:rsid w:val="6E0E4A8E"/>
    <w:rsid w:val="6E7212F6"/>
    <w:rsid w:val="6ECA244B"/>
    <w:rsid w:val="6EDF5A57"/>
    <w:rsid w:val="6EE523E3"/>
    <w:rsid w:val="6EEA5409"/>
    <w:rsid w:val="6EFF44AF"/>
    <w:rsid w:val="6F5703BA"/>
    <w:rsid w:val="6F7B1081"/>
    <w:rsid w:val="6F98260D"/>
    <w:rsid w:val="6FE43987"/>
    <w:rsid w:val="700376BC"/>
    <w:rsid w:val="702F21BB"/>
    <w:rsid w:val="70310288"/>
    <w:rsid w:val="70526D1F"/>
    <w:rsid w:val="706E1302"/>
    <w:rsid w:val="709F3334"/>
    <w:rsid w:val="70B215EC"/>
    <w:rsid w:val="70E168E3"/>
    <w:rsid w:val="70E41322"/>
    <w:rsid w:val="70EC2EDA"/>
    <w:rsid w:val="70EE6E37"/>
    <w:rsid w:val="713A74BB"/>
    <w:rsid w:val="715B7AB6"/>
    <w:rsid w:val="71CC1418"/>
    <w:rsid w:val="71DE50BF"/>
    <w:rsid w:val="7219618F"/>
    <w:rsid w:val="721D0CC5"/>
    <w:rsid w:val="7253175C"/>
    <w:rsid w:val="727E5208"/>
    <w:rsid w:val="7287347B"/>
    <w:rsid w:val="72C56BE5"/>
    <w:rsid w:val="72DF0C08"/>
    <w:rsid w:val="72F435B9"/>
    <w:rsid w:val="734809ED"/>
    <w:rsid w:val="734C7792"/>
    <w:rsid w:val="73742C15"/>
    <w:rsid w:val="73771A09"/>
    <w:rsid w:val="739C0F3E"/>
    <w:rsid w:val="73B44CAE"/>
    <w:rsid w:val="73B720C7"/>
    <w:rsid w:val="73BE28FD"/>
    <w:rsid w:val="73C62B7A"/>
    <w:rsid w:val="73EF4823"/>
    <w:rsid w:val="741C1742"/>
    <w:rsid w:val="74213941"/>
    <w:rsid w:val="743704A9"/>
    <w:rsid w:val="743F694D"/>
    <w:rsid w:val="744C4897"/>
    <w:rsid w:val="746A31D6"/>
    <w:rsid w:val="74A0651F"/>
    <w:rsid w:val="74B80A5A"/>
    <w:rsid w:val="74D112F2"/>
    <w:rsid w:val="74DE2775"/>
    <w:rsid w:val="74FD31F5"/>
    <w:rsid w:val="75725E29"/>
    <w:rsid w:val="75733E03"/>
    <w:rsid w:val="75A417D4"/>
    <w:rsid w:val="75A55F35"/>
    <w:rsid w:val="7601088B"/>
    <w:rsid w:val="76107FEB"/>
    <w:rsid w:val="763A27BC"/>
    <w:rsid w:val="7651364A"/>
    <w:rsid w:val="766411B4"/>
    <w:rsid w:val="767646A1"/>
    <w:rsid w:val="76B43D33"/>
    <w:rsid w:val="76E247A8"/>
    <w:rsid w:val="77156B43"/>
    <w:rsid w:val="7737209F"/>
    <w:rsid w:val="77561D7E"/>
    <w:rsid w:val="777B6FAA"/>
    <w:rsid w:val="7783538E"/>
    <w:rsid w:val="778A709C"/>
    <w:rsid w:val="778B3FE0"/>
    <w:rsid w:val="779264B3"/>
    <w:rsid w:val="779600E6"/>
    <w:rsid w:val="779B769D"/>
    <w:rsid w:val="77B42FB6"/>
    <w:rsid w:val="77BD3930"/>
    <w:rsid w:val="77D40BBE"/>
    <w:rsid w:val="77F32C0B"/>
    <w:rsid w:val="7801399C"/>
    <w:rsid w:val="780C4F62"/>
    <w:rsid w:val="78193CE6"/>
    <w:rsid w:val="781E494E"/>
    <w:rsid w:val="78333528"/>
    <w:rsid w:val="78405988"/>
    <w:rsid w:val="786450D1"/>
    <w:rsid w:val="78A80FCD"/>
    <w:rsid w:val="78B403C6"/>
    <w:rsid w:val="78D53AB7"/>
    <w:rsid w:val="7907667E"/>
    <w:rsid w:val="794440CF"/>
    <w:rsid w:val="797626BE"/>
    <w:rsid w:val="79777B0D"/>
    <w:rsid w:val="79B31568"/>
    <w:rsid w:val="79CC1033"/>
    <w:rsid w:val="79F23CC1"/>
    <w:rsid w:val="7A7515AC"/>
    <w:rsid w:val="7A762A23"/>
    <w:rsid w:val="7A996F7B"/>
    <w:rsid w:val="7AEE4FED"/>
    <w:rsid w:val="7AF47670"/>
    <w:rsid w:val="7B12339E"/>
    <w:rsid w:val="7B2F64DB"/>
    <w:rsid w:val="7B4C046C"/>
    <w:rsid w:val="7B9F45A1"/>
    <w:rsid w:val="7BB10918"/>
    <w:rsid w:val="7BD1536B"/>
    <w:rsid w:val="7BFD2F32"/>
    <w:rsid w:val="7C264431"/>
    <w:rsid w:val="7C340216"/>
    <w:rsid w:val="7C5171A8"/>
    <w:rsid w:val="7C5A6CA3"/>
    <w:rsid w:val="7C8D2964"/>
    <w:rsid w:val="7C9C1430"/>
    <w:rsid w:val="7CA22224"/>
    <w:rsid w:val="7CA45991"/>
    <w:rsid w:val="7CBA16C2"/>
    <w:rsid w:val="7CD63C17"/>
    <w:rsid w:val="7CE5605F"/>
    <w:rsid w:val="7D224744"/>
    <w:rsid w:val="7D45002F"/>
    <w:rsid w:val="7D4668C5"/>
    <w:rsid w:val="7D953A9C"/>
    <w:rsid w:val="7DA44F3C"/>
    <w:rsid w:val="7DB14C07"/>
    <w:rsid w:val="7DC51DFC"/>
    <w:rsid w:val="7DCA2A0E"/>
    <w:rsid w:val="7DDF69B2"/>
    <w:rsid w:val="7E2C6B54"/>
    <w:rsid w:val="7E3266CC"/>
    <w:rsid w:val="7E45424D"/>
    <w:rsid w:val="7E7924D3"/>
    <w:rsid w:val="7E897690"/>
    <w:rsid w:val="7E8A7B14"/>
    <w:rsid w:val="7EA334A8"/>
    <w:rsid w:val="7EEF243D"/>
    <w:rsid w:val="7F120232"/>
    <w:rsid w:val="7F317C40"/>
    <w:rsid w:val="7F334892"/>
    <w:rsid w:val="7F560332"/>
    <w:rsid w:val="7F6A1189"/>
    <w:rsid w:val="7F8C2418"/>
    <w:rsid w:val="7FB1457D"/>
    <w:rsid w:val="7FC050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9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99" w:semiHidden="0" w:name="macro"/>
    <w:lsdException w:unhideWhenUsed="0" w:uiPriority="0" w:semiHidden="0" w:name="toa heading"/>
    <w:lsdException w:unhideWhenUsed="0" w:uiPriority="99" w:semiHidden="0" w:name="List"/>
    <w:lsdException w:qFormat="1" w:unhideWhenUsed="0" w:uiPriority="99" w:semiHidden="0" w:name="List Bullet"/>
    <w:lsdException w:uiPriority="0" w:semiHidden="0" w:name="List Number"/>
    <w:lsdException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99" w:semiHidden="0" w:name="Closing"/>
    <w:lsdException w:unhideWhenUsed="0" w:uiPriority="99" w:semiHidden="0" w:name="Signature"/>
    <w:lsdException w:qFormat="1" w:uiPriority="1" w:name="Default Paragraph Font"/>
    <w:lsdException w:qFormat="1" w:unhideWhenUsed="0" w:uiPriority="0" w:semiHidden="0" w:name="Body Text"/>
    <w:lsdException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99" w:semiHidden="0" w:name="Message Header"/>
    <w:lsdException w:unhideWhenUsed="0" w:uiPriority="11" w:semiHidden="0" w:name="Subtitle"/>
    <w:lsdException w:unhideWhenUsed="0" w:uiPriority="99" w:semiHidden="0" w:name="Salutation"/>
    <w:lsdException w:qFormat="1" w:unhideWhenUsed="0" w:uiPriority="0" w:semiHidden="0" w:name="Date"/>
    <w:lsdException w:qFormat="1" w:unhideWhenUsed="0" w:uiPriority="99" w:semiHidden="0" w:name="Body Text First Indent"/>
    <w:lsdException w:uiPriority="0" w:semiHidden="0" w:name="Body Text First Indent 2"/>
    <w:lsdException w:unhideWhenUsed="0" w:uiPriority="99" w:semiHidden="0" w:name="Note Heading"/>
    <w:lsdException w:unhideWhenUsed="0" w:uiPriority="99" w:semiHidden="0" w:name="Body Text 2"/>
    <w:lsdException w:unhideWhenUsed="0" w:uiPriority="0" w:semiHidden="0" w:name="Body Text 3"/>
    <w:lsdException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99" w:semiHidden="0" w:name="E-mail Signature"/>
    <w:lsdException w:qFormat="1" w:uiPriority="99" w:semiHidden="0" w:name="Normal (Web)"/>
    <w:lsdException w:unhideWhenUsed="0" w:uiPriority="0" w:semiHidden="0" w:name="HTML Acronym"/>
    <w:lsdException w:unhideWhenUsed="0" w:uiPriority="99" w:semiHidden="0" w:name="HTML Address"/>
    <w:lsdException w:unhideWhenUsed="0" w:uiPriority="0" w:semiHidden="0" w:name="HTML Cite"/>
    <w:lsdException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qFormat="1" w:uiPriority="0" w:name="Table Classic 1"/>
    <w:lsdException w:uiPriority="99" w:name="Table Classic 2"/>
    <w:lsdException w:uiPriority="99" w:name="Table Classic 3"/>
    <w:lsdException w:uiPriority="99" w:name="Table Classic 4"/>
    <w:lsdException w:qFormat="1" w:uiPriority="0" w:name="Table Colorful 1"/>
    <w:lsdException w:qFormat="1" w:uiPriority="0"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qFormat="1" w:uiPriority="0"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iPriority="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qFormat="1"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宋体" w:hAnsi="宋体" w:eastAsia="宋体" w:cs="宋体"/>
      <w:kern w:val="2"/>
      <w:sz w:val="24"/>
      <w:lang w:val="en-US" w:eastAsia="zh-CN" w:bidi="ar-SA"/>
    </w:rPr>
  </w:style>
  <w:style w:type="paragraph" w:styleId="3">
    <w:name w:val="heading 1"/>
    <w:basedOn w:val="1"/>
    <w:next w:val="1"/>
    <w:link w:val="44"/>
    <w:qFormat/>
    <w:uiPriority w:val="0"/>
    <w:pPr>
      <w:keepNext/>
      <w:keepLines/>
      <w:pageBreakBefore/>
      <w:numPr>
        <w:ilvl w:val="0"/>
        <w:numId w:val="1"/>
      </w:numPr>
      <w:tabs>
        <w:tab w:val="center" w:pos="0"/>
        <w:tab w:val="left" w:pos="3402"/>
        <w:tab w:val="left" w:pos="3828"/>
      </w:tabs>
      <w:spacing w:before="480" w:after="360" w:line="240" w:lineRule="auto"/>
      <w:ind w:firstLine="0" w:firstLineChars="0"/>
      <w:jc w:val="center"/>
      <w:outlineLvl w:val="0"/>
    </w:pPr>
    <w:rPr>
      <w:rFonts w:eastAsia="黑体"/>
      <w:bCs/>
      <w:kern w:val="0"/>
      <w:sz w:val="32"/>
      <w:szCs w:val="44"/>
    </w:rPr>
  </w:style>
  <w:style w:type="paragraph" w:styleId="4">
    <w:name w:val="heading 2"/>
    <w:basedOn w:val="1"/>
    <w:next w:val="1"/>
    <w:link w:val="45"/>
    <w:qFormat/>
    <w:uiPriority w:val="0"/>
    <w:pPr>
      <w:keepNext/>
      <w:keepLines/>
      <w:numPr>
        <w:ilvl w:val="1"/>
        <w:numId w:val="1"/>
      </w:numPr>
      <w:spacing w:before="480" w:after="120" w:line="240" w:lineRule="auto"/>
      <w:ind w:left="0" w:firstLine="0" w:firstLineChars="0"/>
      <w:jc w:val="center"/>
      <w:outlineLvl w:val="1"/>
    </w:pPr>
    <w:rPr>
      <w:rFonts w:ascii="黑体" w:hAnsi="黑体" w:eastAsia="黑体"/>
      <w:b/>
      <w:bCs/>
      <w:sz w:val="28"/>
      <w:szCs w:val="28"/>
      <w:lang w:val="zh-CN"/>
    </w:rPr>
  </w:style>
  <w:style w:type="paragraph" w:styleId="5">
    <w:name w:val="heading 3"/>
    <w:basedOn w:val="1"/>
    <w:next w:val="1"/>
    <w:link w:val="46"/>
    <w:qFormat/>
    <w:uiPriority w:val="0"/>
    <w:pPr>
      <w:keepNext/>
      <w:keepLines/>
      <w:widowControl/>
      <w:numPr>
        <w:ilvl w:val="2"/>
        <w:numId w:val="1"/>
      </w:numPr>
      <w:tabs>
        <w:tab w:val="left" w:pos="720"/>
      </w:tabs>
      <w:spacing w:before="240" w:after="120" w:line="240" w:lineRule="auto"/>
      <w:ind w:left="480" w:leftChars="200" w:firstLineChars="0"/>
      <w:jc w:val="left"/>
      <w:outlineLvl w:val="2"/>
    </w:pPr>
    <w:rPr>
      <w:rFonts w:eastAsia="黑体" w:asciiTheme="majorHAnsi" w:hAnsiTheme="majorHAnsi"/>
      <w:bCs/>
      <w:szCs w:val="32"/>
      <w:lang w:val="zh-CN"/>
    </w:rPr>
  </w:style>
  <w:style w:type="paragraph" w:styleId="6">
    <w:name w:val="heading 4"/>
    <w:basedOn w:val="1"/>
    <w:next w:val="1"/>
    <w:link w:val="47"/>
    <w:qFormat/>
    <w:uiPriority w:val="0"/>
    <w:pPr>
      <w:keepNext/>
      <w:keepLines/>
      <w:numPr>
        <w:ilvl w:val="3"/>
        <w:numId w:val="1"/>
      </w:numPr>
      <w:tabs>
        <w:tab w:val="left" w:pos="1080"/>
      </w:tabs>
      <w:adjustRightInd w:val="0"/>
      <w:snapToGrid w:val="0"/>
      <w:spacing w:before="240" w:after="120" w:line="240" w:lineRule="auto"/>
      <w:ind w:left="480" w:leftChars="200" w:firstLineChars="0"/>
      <w:jc w:val="left"/>
      <w:outlineLvl w:val="3"/>
    </w:pPr>
    <w:rPr>
      <w:rFonts w:ascii="黑体" w:hAnsi="黑体" w:eastAsia="黑体"/>
      <w:szCs w:val="28"/>
      <w:lang w:val="zh-CN"/>
    </w:rPr>
  </w:style>
  <w:style w:type="paragraph" w:styleId="7">
    <w:name w:val="heading 5"/>
    <w:basedOn w:val="1"/>
    <w:next w:val="1"/>
    <w:link w:val="43"/>
    <w:qFormat/>
    <w:uiPriority w:val="0"/>
    <w:pPr>
      <w:keepNext/>
      <w:keepLines/>
      <w:numPr>
        <w:ilvl w:val="4"/>
        <w:numId w:val="1"/>
      </w:numPr>
      <w:snapToGrid w:val="0"/>
      <w:spacing w:before="240" w:after="120" w:line="240" w:lineRule="auto"/>
      <w:ind w:left="480" w:leftChars="200" w:firstLineChars="0"/>
      <w:jc w:val="left"/>
      <w:outlineLvl w:val="4"/>
    </w:pPr>
    <w:rPr>
      <w:rFonts w:eastAsia="黑体"/>
      <w:bCs/>
      <w:szCs w:val="24"/>
    </w:rPr>
  </w:style>
  <w:style w:type="paragraph" w:styleId="8">
    <w:name w:val="heading 6"/>
    <w:basedOn w:val="7"/>
    <w:next w:val="1"/>
    <w:link w:val="48"/>
    <w:qFormat/>
    <w:uiPriority w:val="0"/>
    <w:pPr>
      <w:keepNext/>
      <w:keepLines/>
      <w:numPr>
        <w:ilvl w:val="5"/>
        <w:numId w:val="1"/>
      </w:numPr>
      <w:spacing w:before="163" w:beforeLines="50" w:after="120"/>
      <w:ind w:firstLine="480"/>
      <w:outlineLvl w:val="5"/>
    </w:pPr>
    <w:rPr>
      <w:rFonts w:ascii="黑体" w:hAnsi="黑体" w:eastAsia="黑体"/>
    </w:rPr>
  </w:style>
  <w:style w:type="paragraph" w:styleId="9">
    <w:name w:val="heading 7"/>
    <w:basedOn w:val="1"/>
    <w:next w:val="1"/>
    <w:link w:val="49"/>
    <w:unhideWhenUsed/>
    <w:qFormat/>
    <w:uiPriority w:val="0"/>
    <w:pPr>
      <w:keepNext/>
      <w:keepLines/>
      <w:numPr>
        <w:ilvl w:val="6"/>
        <w:numId w:val="1"/>
      </w:numPr>
      <w:spacing w:before="120" w:after="64" w:line="240" w:lineRule="auto"/>
      <w:ind w:left="200" w:leftChars="200" w:firstLine="200"/>
      <w:jc w:val="left"/>
      <w:outlineLvl w:val="6"/>
    </w:pPr>
    <w:rPr>
      <w:rFonts w:eastAsia="黑体"/>
      <w:bCs/>
      <w:szCs w:val="24"/>
      <w:lang w:eastAsia="en-US"/>
    </w:rPr>
  </w:style>
  <w:style w:type="paragraph" w:styleId="10">
    <w:name w:val="heading 8"/>
    <w:basedOn w:val="1"/>
    <w:next w:val="1"/>
    <w:link w:val="50"/>
    <w:unhideWhenUsed/>
    <w:qFormat/>
    <w:uiPriority w:val="0"/>
    <w:pPr>
      <w:keepNext/>
      <w:keepLines/>
      <w:numPr>
        <w:ilvl w:val="7"/>
        <w:numId w:val="1"/>
      </w:numPr>
      <w:spacing w:before="240" w:after="64" w:line="319" w:lineRule="auto"/>
      <w:ind w:firstLineChars="0"/>
      <w:jc w:val="left"/>
      <w:outlineLvl w:val="7"/>
    </w:pPr>
    <w:rPr>
      <w:rFonts w:ascii="Cambria" w:hAnsi="Cambria" w:cs="Times New Roman"/>
      <w:szCs w:val="24"/>
      <w:lang w:eastAsia="en-US"/>
    </w:rPr>
  </w:style>
  <w:style w:type="paragraph" w:styleId="11">
    <w:name w:val="heading 9"/>
    <w:basedOn w:val="1"/>
    <w:next w:val="1"/>
    <w:link w:val="51"/>
    <w:unhideWhenUsed/>
    <w:qFormat/>
    <w:uiPriority w:val="9"/>
    <w:pPr>
      <w:keepNext/>
      <w:keepLines/>
      <w:numPr>
        <w:ilvl w:val="8"/>
        <w:numId w:val="1"/>
      </w:numPr>
      <w:spacing w:before="240" w:after="64" w:line="320" w:lineRule="auto"/>
      <w:ind w:firstLineChars="0"/>
      <w:outlineLvl w:val="8"/>
    </w:pPr>
    <w:rPr>
      <w:rFonts w:ascii="Cambria" w:hAnsi="Cambria" w:cs="Times New Roman"/>
      <w:sz w:val="21"/>
      <w:szCs w:val="21"/>
      <w:lang w:eastAsia="en-US"/>
    </w:rPr>
  </w:style>
  <w:style w:type="character" w:default="1" w:styleId="37">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customStyle="1" w:styleId="2">
    <w:name w:val="a正文"/>
    <w:basedOn w:val="1"/>
    <w:qFormat/>
    <w:uiPriority w:val="0"/>
    <w:pPr>
      <w:snapToGrid w:val="0"/>
      <w:ind w:firstLine="420" w:firstLineChars="200"/>
      <w:jc w:val="left"/>
    </w:pPr>
    <w:rPr>
      <w:rFonts w:eastAsiaTheme="minorEastAsia"/>
      <w:color w:val="000000"/>
      <w:sz w:val="21"/>
    </w:rPr>
  </w:style>
  <w:style w:type="paragraph" w:styleId="12">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 w:val="21"/>
      <w:szCs w:val="22"/>
    </w:rPr>
  </w:style>
  <w:style w:type="paragraph" w:styleId="13">
    <w:name w:val="Normal Indent"/>
    <w:basedOn w:val="1"/>
    <w:qFormat/>
    <w:uiPriority w:val="0"/>
    <w:pPr>
      <w:ind w:firstLine="420"/>
    </w:pPr>
  </w:style>
  <w:style w:type="paragraph" w:styleId="14">
    <w:name w:val="caption"/>
    <w:basedOn w:val="1"/>
    <w:next w:val="1"/>
    <w:link w:val="64"/>
    <w:unhideWhenUsed/>
    <w:qFormat/>
    <w:uiPriority w:val="0"/>
    <w:rPr>
      <w:rFonts w:eastAsia="黑体" w:asciiTheme="majorHAnsi" w:hAnsiTheme="majorHAnsi" w:cstheme="majorBidi"/>
      <w:sz w:val="20"/>
    </w:rPr>
  </w:style>
  <w:style w:type="paragraph" w:styleId="15">
    <w:name w:val="List Bullet"/>
    <w:basedOn w:val="1"/>
    <w:qFormat/>
    <w:uiPriority w:val="99"/>
    <w:pPr>
      <w:numPr>
        <w:ilvl w:val="0"/>
        <w:numId w:val="2"/>
      </w:numPr>
    </w:pPr>
  </w:style>
  <w:style w:type="paragraph" w:styleId="16">
    <w:name w:val="Body Text"/>
    <w:basedOn w:val="1"/>
    <w:next w:val="17"/>
    <w:link w:val="164"/>
    <w:qFormat/>
    <w:uiPriority w:val="0"/>
    <w:pPr>
      <w:widowControl/>
      <w:spacing w:after="120"/>
      <w:ind w:firstLine="0" w:firstLineChars="0"/>
      <w:jc w:val="left"/>
    </w:pPr>
    <w:rPr>
      <w:rFonts w:ascii="Arial" w:hAnsi="Arial" w:cstheme="minorBidi"/>
      <w:kern w:val="0"/>
      <w:szCs w:val="22"/>
    </w:rPr>
  </w:style>
  <w:style w:type="paragraph" w:styleId="17">
    <w:name w:val="Body Text First Indent"/>
    <w:basedOn w:val="16"/>
    <w:next w:val="18"/>
    <w:qFormat/>
    <w:uiPriority w:val="99"/>
    <w:pPr>
      <w:ind w:firstLine="420" w:firstLineChars="100"/>
    </w:pPr>
  </w:style>
  <w:style w:type="paragraph" w:customStyle="1" w:styleId="18">
    <w:name w:val="样式 正文首行缩进 + 首行缩进:  1 字符"/>
    <w:basedOn w:val="17"/>
    <w:next w:val="15"/>
    <w:qFormat/>
    <w:uiPriority w:val="0"/>
    <w:pPr>
      <w:spacing w:after="40"/>
      <w:ind w:firstLine="200" w:firstLineChars="200"/>
    </w:pPr>
    <w:rPr>
      <w:rFonts w:eastAsia="隶书" w:cs="宋体"/>
      <w:snapToGrid/>
      <w:kern w:val="2"/>
      <w:shd w:val="clear" w:color="auto" w:fill="FFFFFF"/>
    </w:rPr>
  </w:style>
  <w:style w:type="paragraph" w:styleId="19">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 w:val="21"/>
      <w:szCs w:val="22"/>
    </w:rPr>
  </w:style>
  <w:style w:type="paragraph" w:styleId="20">
    <w:name w:val="toc 3"/>
    <w:basedOn w:val="1"/>
    <w:next w:val="1"/>
    <w:qFormat/>
    <w:uiPriority w:val="39"/>
    <w:pPr>
      <w:ind w:left="840" w:leftChars="400"/>
    </w:pPr>
  </w:style>
  <w:style w:type="paragraph" w:styleId="21">
    <w:name w:val="Plain Text"/>
    <w:basedOn w:val="1"/>
    <w:qFormat/>
    <w:uiPriority w:val="0"/>
    <w:rPr>
      <w:rFonts w:hAnsi="Courier New"/>
      <w:szCs w:val="22"/>
    </w:rPr>
  </w:style>
  <w:style w:type="paragraph" w:styleId="22">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 w:val="21"/>
      <w:szCs w:val="22"/>
    </w:rPr>
  </w:style>
  <w:style w:type="paragraph" w:styleId="23">
    <w:name w:val="Date"/>
    <w:basedOn w:val="1"/>
    <w:next w:val="1"/>
    <w:link w:val="165"/>
    <w:qFormat/>
    <w:uiPriority w:val="0"/>
    <w:pPr>
      <w:ind w:left="100" w:leftChars="2500"/>
    </w:pPr>
  </w:style>
  <w:style w:type="paragraph" w:styleId="24">
    <w:name w:val="Balloon Text"/>
    <w:basedOn w:val="1"/>
    <w:link w:val="67"/>
    <w:semiHidden/>
    <w:unhideWhenUsed/>
    <w:qFormat/>
    <w:uiPriority w:val="0"/>
    <w:pPr>
      <w:spacing w:line="240" w:lineRule="auto"/>
    </w:pPr>
    <w:rPr>
      <w:sz w:val="18"/>
      <w:szCs w:val="18"/>
    </w:rPr>
  </w:style>
  <w:style w:type="paragraph" w:styleId="25">
    <w:name w:val="footer"/>
    <w:basedOn w:val="1"/>
    <w:link w:val="63"/>
    <w:unhideWhenUsed/>
    <w:qFormat/>
    <w:uiPriority w:val="99"/>
    <w:pPr>
      <w:widowControl/>
      <w:tabs>
        <w:tab w:val="center" w:pos="4680"/>
        <w:tab w:val="right" w:pos="9360"/>
      </w:tabs>
      <w:spacing w:line="240" w:lineRule="auto"/>
      <w:ind w:firstLine="0" w:firstLineChars="0"/>
      <w:jc w:val="left"/>
    </w:pPr>
    <w:rPr>
      <w:rFonts w:cs="Times New Roman" w:asciiTheme="minorHAnsi" w:hAnsiTheme="minorHAnsi" w:eastAsiaTheme="minorEastAsia"/>
      <w:kern w:val="0"/>
      <w:sz w:val="22"/>
      <w:szCs w:val="22"/>
    </w:rPr>
  </w:style>
  <w:style w:type="paragraph" w:styleId="26">
    <w:name w:val="header"/>
    <w:basedOn w:val="1"/>
    <w:link w:val="62"/>
    <w:unhideWhenUsed/>
    <w:qFormat/>
    <w:uiPriority w:val="99"/>
    <w:pPr>
      <w:widowControl/>
      <w:tabs>
        <w:tab w:val="center" w:pos="4680"/>
        <w:tab w:val="right" w:pos="9360"/>
      </w:tabs>
      <w:spacing w:line="240" w:lineRule="auto"/>
      <w:ind w:firstLine="0" w:firstLineChars="0"/>
      <w:jc w:val="left"/>
    </w:pPr>
    <w:rPr>
      <w:rFonts w:cs="Times New Roman" w:asciiTheme="minorHAnsi" w:hAnsiTheme="minorHAnsi" w:eastAsiaTheme="minorEastAsia"/>
      <w:kern w:val="0"/>
      <w:sz w:val="22"/>
      <w:szCs w:val="22"/>
    </w:rPr>
  </w:style>
  <w:style w:type="paragraph" w:styleId="27">
    <w:name w:val="toc 1"/>
    <w:basedOn w:val="1"/>
    <w:next w:val="1"/>
    <w:qFormat/>
    <w:uiPriority w:val="39"/>
  </w:style>
  <w:style w:type="paragraph" w:styleId="28">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sz w:val="21"/>
      <w:szCs w:val="22"/>
    </w:rPr>
  </w:style>
  <w:style w:type="paragraph" w:styleId="29">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 w:val="21"/>
      <w:szCs w:val="22"/>
    </w:rPr>
  </w:style>
  <w:style w:type="paragraph" w:styleId="30">
    <w:name w:val="table of figures"/>
    <w:basedOn w:val="1"/>
    <w:next w:val="1"/>
    <w:qFormat/>
    <w:uiPriority w:val="99"/>
    <w:pPr>
      <w:ind w:left="200" w:leftChars="200" w:hanging="200" w:hangingChars="200"/>
    </w:pPr>
  </w:style>
  <w:style w:type="paragraph" w:styleId="31">
    <w:name w:val="toc 2"/>
    <w:basedOn w:val="1"/>
    <w:next w:val="1"/>
    <w:qFormat/>
    <w:uiPriority w:val="39"/>
    <w:pPr>
      <w:ind w:left="420" w:leftChars="200"/>
    </w:pPr>
  </w:style>
  <w:style w:type="paragraph" w:styleId="32">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 w:val="21"/>
      <w:szCs w:val="22"/>
    </w:rPr>
  </w:style>
  <w:style w:type="paragraph" w:styleId="33">
    <w:name w:val="Normal (Web)"/>
    <w:basedOn w:val="1"/>
    <w:unhideWhenUsed/>
    <w:qFormat/>
    <w:uiPriority w:val="99"/>
    <w:pPr>
      <w:spacing w:before="0" w:beforeAutospacing="1" w:after="0" w:afterAutospacing="1"/>
      <w:ind w:left="0" w:right="0"/>
      <w:jc w:val="left"/>
    </w:pPr>
    <w:rPr>
      <w:kern w:val="0"/>
      <w:sz w:val="24"/>
      <w:lang w:val="en-US" w:eastAsia="zh-CN" w:bidi="ar"/>
    </w:rPr>
  </w:style>
  <w:style w:type="table" w:styleId="35">
    <w:name w:val="Table Grid"/>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6">
    <w:name w:val="Table Professional"/>
    <w:basedOn w:val="34"/>
    <w:semiHidden/>
    <w:unhideWhenUsed/>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38">
    <w:name w:val="Strong"/>
    <w:basedOn w:val="37"/>
    <w:qFormat/>
    <w:uiPriority w:val="0"/>
    <w:rPr>
      <w:b/>
    </w:rPr>
  </w:style>
  <w:style w:type="character" w:styleId="39">
    <w:name w:val="FollowedHyperlink"/>
    <w:basedOn w:val="37"/>
    <w:unhideWhenUsed/>
    <w:qFormat/>
    <w:uiPriority w:val="99"/>
    <w:rPr>
      <w:color w:val="954F72"/>
      <w:u w:val="single"/>
    </w:rPr>
  </w:style>
  <w:style w:type="character" w:styleId="40">
    <w:name w:val="Emphasis"/>
    <w:basedOn w:val="37"/>
    <w:qFormat/>
    <w:uiPriority w:val="0"/>
    <w:rPr>
      <w:i/>
    </w:rPr>
  </w:style>
  <w:style w:type="character" w:styleId="41">
    <w:name w:val="Hyperlink"/>
    <w:basedOn w:val="37"/>
    <w:unhideWhenUsed/>
    <w:qFormat/>
    <w:uiPriority w:val="99"/>
    <w:rPr>
      <w:color w:val="0563C1" w:themeColor="hyperlink"/>
      <w:u w:val="single"/>
      <w14:textFill>
        <w14:solidFill>
          <w14:schemeClr w14:val="hlink"/>
        </w14:solidFill>
      </w14:textFill>
    </w:rPr>
  </w:style>
  <w:style w:type="paragraph" w:customStyle="1" w:styleId="42">
    <w:name w:val="Default"/>
    <w:next w:val="1"/>
    <w:qFormat/>
    <w:uiPriority w:val="99"/>
    <w:pPr>
      <w:widowControl w:val="0"/>
      <w:autoSpaceDE w:val="0"/>
      <w:autoSpaceDN w:val="0"/>
      <w:adjustRightInd w:val="0"/>
    </w:pPr>
    <w:rPr>
      <w:rFonts w:ascii="Calibri" w:hAnsi="Calibri" w:eastAsia="宋体" w:cs="Times New Roman"/>
      <w:color w:val="000000"/>
      <w:kern w:val="0"/>
      <w:sz w:val="24"/>
      <w:szCs w:val="24"/>
      <w:lang w:val="en-US" w:eastAsia="zh-CN" w:bidi="ar-SA"/>
    </w:rPr>
  </w:style>
  <w:style w:type="character" w:customStyle="1" w:styleId="43">
    <w:name w:val="标题 5 字符"/>
    <w:link w:val="7"/>
    <w:qFormat/>
    <w:uiPriority w:val="0"/>
    <w:rPr>
      <w:rFonts w:ascii="宋体" w:hAnsi="宋体" w:eastAsia="黑体" w:cs="宋体"/>
      <w:bCs/>
      <w:kern w:val="2"/>
      <w:sz w:val="24"/>
      <w:szCs w:val="24"/>
    </w:rPr>
  </w:style>
  <w:style w:type="character" w:customStyle="1" w:styleId="44">
    <w:name w:val="标题 1 字符"/>
    <w:link w:val="3"/>
    <w:qFormat/>
    <w:uiPriority w:val="0"/>
    <w:rPr>
      <w:rFonts w:ascii="宋体" w:hAnsi="宋体" w:eastAsia="黑体" w:cs="宋体"/>
      <w:bCs/>
      <w:sz w:val="32"/>
      <w:szCs w:val="44"/>
    </w:rPr>
  </w:style>
  <w:style w:type="character" w:customStyle="1" w:styleId="45">
    <w:name w:val="标题 2 字符"/>
    <w:link w:val="4"/>
    <w:qFormat/>
    <w:uiPriority w:val="0"/>
    <w:rPr>
      <w:rFonts w:ascii="黑体" w:hAnsi="黑体" w:eastAsia="黑体" w:cs="宋体"/>
      <w:b/>
      <w:bCs/>
      <w:kern w:val="2"/>
      <w:sz w:val="28"/>
      <w:szCs w:val="28"/>
      <w:lang w:val="zh-CN"/>
    </w:rPr>
  </w:style>
  <w:style w:type="character" w:customStyle="1" w:styleId="46">
    <w:name w:val="标题 3 字符"/>
    <w:link w:val="5"/>
    <w:qFormat/>
    <w:uiPriority w:val="0"/>
    <w:rPr>
      <w:rFonts w:eastAsia="黑体" w:cs="宋体" w:asciiTheme="majorHAnsi" w:hAnsiTheme="majorHAnsi"/>
      <w:bCs/>
      <w:kern w:val="2"/>
      <w:sz w:val="24"/>
      <w:szCs w:val="32"/>
      <w:lang w:val="zh-CN"/>
    </w:rPr>
  </w:style>
  <w:style w:type="character" w:customStyle="1" w:styleId="47">
    <w:name w:val="标题 4 字符"/>
    <w:link w:val="6"/>
    <w:qFormat/>
    <w:uiPriority w:val="0"/>
    <w:rPr>
      <w:rFonts w:ascii="黑体" w:hAnsi="黑体" w:eastAsia="黑体" w:cs="宋体"/>
      <w:bCs/>
      <w:kern w:val="2"/>
      <w:sz w:val="24"/>
      <w:szCs w:val="28"/>
      <w:lang w:val="zh-CN"/>
    </w:rPr>
  </w:style>
  <w:style w:type="character" w:customStyle="1" w:styleId="48">
    <w:name w:val="标题 6 字符"/>
    <w:link w:val="8"/>
    <w:qFormat/>
    <w:uiPriority w:val="0"/>
    <w:rPr>
      <w:rFonts w:ascii="黑体" w:hAnsi="黑体" w:eastAsia="黑体" w:cs="宋体"/>
      <w:bCs/>
      <w:kern w:val="2"/>
      <w:sz w:val="24"/>
    </w:rPr>
  </w:style>
  <w:style w:type="character" w:customStyle="1" w:styleId="49">
    <w:name w:val="标题 7 字符"/>
    <w:link w:val="9"/>
    <w:qFormat/>
    <w:uiPriority w:val="0"/>
    <w:rPr>
      <w:rFonts w:ascii="宋体" w:hAnsi="宋体" w:eastAsia="黑体" w:cs="宋体"/>
      <w:bCs/>
      <w:kern w:val="2"/>
      <w:sz w:val="24"/>
      <w:szCs w:val="24"/>
      <w:lang w:eastAsia="en-US"/>
    </w:rPr>
  </w:style>
  <w:style w:type="character" w:customStyle="1" w:styleId="50">
    <w:name w:val="标题 8 字符"/>
    <w:link w:val="10"/>
    <w:qFormat/>
    <w:uiPriority w:val="0"/>
    <w:rPr>
      <w:rFonts w:ascii="Cambria" w:hAnsi="Cambria"/>
      <w:kern w:val="2"/>
      <w:sz w:val="24"/>
      <w:szCs w:val="24"/>
      <w:lang w:eastAsia="en-US"/>
    </w:rPr>
  </w:style>
  <w:style w:type="character" w:customStyle="1" w:styleId="51">
    <w:name w:val="标题 9 字符"/>
    <w:link w:val="11"/>
    <w:qFormat/>
    <w:uiPriority w:val="9"/>
    <w:rPr>
      <w:rFonts w:ascii="Cambria" w:hAnsi="Cambria"/>
      <w:kern w:val="2"/>
      <w:sz w:val="21"/>
      <w:szCs w:val="21"/>
      <w:lang w:eastAsia="en-US"/>
    </w:rPr>
  </w:style>
  <w:style w:type="paragraph" w:customStyle="1" w:styleId="52">
    <w:name w:val="修订1"/>
    <w:hidden/>
    <w:qFormat/>
    <w:uiPriority w:val="0"/>
    <w:rPr>
      <w:rFonts w:ascii="Arial" w:hAnsi="Arial" w:eastAsia="宋体" w:cs="宋体"/>
      <w:kern w:val="2"/>
      <w:sz w:val="24"/>
      <w:lang w:val="en-US" w:eastAsia="zh-CN" w:bidi="ar-SA"/>
    </w:rPr>
  </w:style>
  <w:style w:type="paragraph" w:customStyle="1" w:styleId="53">
    <w:name w:val="修订1111"/>
    <w:hidden/>
    <w:qFormat/>
    <w:uiPriority w:val="0"/>
    <w:rPr>
      <w:rFonts w:ascii="Times New Roman" w:hAnsi="Times New Roman" w:eastAsia="宋体" w:cs="Times New Roman"/>
      <w:kern w:val="2"/>
      <w:sz w:val="24"/>
      <w:szCs w:val="24"/>
      <w:lang w:val="en-US" w:eastAsia="zh-CN" w:bidi="ar-SA"/>
    </w:rPr>
  </w:style>
  <w:style w:type="paragraph" w:customStyle="1" w:styleId="54">
    <w:name w:val="修订2"/>
    <w:hidden/>
    <w:qFormat/>
    <w:uiPriority w:val="0"/>
    <w:rPr>
      <w:rFonts w:ascii="Times New Roman" w:hAnsi="Times New Roman" w:eastAsia="宋体" w:cs="Times New Roman"/>
      <w:kern w:val="2"/>
      <w:sz w:val="24"/>
      <w:szCs w:val="24"/>
      <w:lang w:val="en-US" w:eastAsia="zh-CN" w:bidi="ar-SA"/>
    </w:rPr>
  </w:style>
  <w:style w:type="paragraph" w:customStyle="1" w:styleId="55">
    <w:name w:val="修订11"/>
    <w:hidden/>
    <w:semiHidden/>
    <w:qFormat/>
    <w:uiPriority w:val="99"/>
    <w:rPr>
      <w:rFonts w:ascii="Times New Roman" w:hAnsi="Times New Roman" w:eastAsia="宋体" w:cs="Times New Roman"/>
      <w:kern w:val="2"/>
      <w:sz w:val="24"/>
      <w:szCs w:val="24"/>
      <w:lang w:val="en-US" w:eastAsia="zh-CN" w:bidi="ar-SA"/>
    </w:rPr>
  </w:style>
  <w:style w:type="paragraph" w:customStyle="1" w:styleId="56">
    <w:name w:val="修订111"/>
    <w:hidden/>
    <w:semiHidden/>
    <w:qFormat/>
    <w:uiPriority w:val="99"/>
    <w:rPr>
      <w:rFonts w:ascii="Times New Roman" w:hAnsi="Times New Roman" w:eastAsia="宋体" w:cs="Times New Roman"/>
      <w:kern w:val="2"/>
      <w:sz w:val="24"/>
      <w:szCs w:val="24"/>
      <w:lang w:val="en-US" w:eastAsia="zh-CN" w:bidi="ar-SA"/>
    </w:rPr>
  </w:style>
  <w:style w:type="paragraph" w:customStyle="1" w:styleId="57">
    <w:name w:val="Revision"/>
    <w:hidden/>
    <w:qFormat/>
    <w:uiPriority w:val="99"/>
    <w:rPr>
      <w:rFonts w:ascii="宋体" w:hAnsi="宋体" w:eastAsia="宋体" w:cs="Times New Roman"/>
      <w:kern w:val="2"/>
      <w:sz w:val="28"/>
      <w:szCs w:val="28"/>
      <w:lang w:val="en-US" w:eastAsia="zh-CN" w:bidi="ar-SA"/>
    </w:rPr>
  </w:style>
  <w:style w:type="paragraph" w:customStyle="1" w:styleId="58">
    <w:name w:val="彩色底纹 - 着色 11"/>
    <w:hidden/>
    <w:unhideWhenUsed/>
    <w:qFormat/>
    <w:uiPriority w:val="0"/>
    <w:rPr>
      <w:rFonts w:ascii="Times New Roman" w:hAnsi="Times New Roman" w:eastAsia="宋体" w:cs="Times New Roman"/>
      <w:kern w:val="2"/>
      <w:sz w:val="24"/>
      <w:lang w:val="en-US" w:eastAsia="zh-CN" w:bidi="ar-SA"/>
    </w:rPr>
  </w:style>
  <w:style w:type="paragraph" w:customStyle="1" w:styleId="59">
    <w:name w:val="彩色底纹 - 着色 12"/>
    <w:hidden/>
    <w:unhideWhenUsed/>
    <w:qFormat/>
    <w:uiPriority w:val="0"/>
    <w:rPr>
      <w:rFonts w:ascii="Times New Roman" w:hAnsi="Times New Roman" w:eastAsia="宋体" w:cs="Times New Roman"/>
      <w:kern w:val="2"/>
      <w:sz w:val="24"/>
      <w:lang w:val="en-US" w:eastAsia="zh-CN" w:bidi="ar-SA"/>
    </w:rPr>
  </w:style>
  <w:style w:type="paragraph" w:customStyle="1" w:styleId="60">
    <w:name w:val="修订6"/>
    <w:hidden/>
    <w:unhideWhenUsed/>
    <w:qFormat/>
    <w:uiPriority w:val="0"/>
    <w:rPr>
      <w:rFonts w:ascii="Times New Roman" w:hAnsi="Times New Roman" w:eastAsia="宋体" w:cs="Times New Roman"/>
      <w:kern w:val="2"/>
      <w:sz w:val="24"/>
      <w:lang w:val="en-US" w:eastAsia="zh-CN" w:bidi="ar-SA"/>
    </w:rPr>
  </w:style>
  <w:style w:type="character" w:customStyle="1" w:styleId="61">
    <w:name w:val="Unresolved Mention"/>
    <w:basedOn w:val="37"/>
    <w:semiHidden/>
    <w:unhideWhenUsed/>
    <w:qFormat/>
    <w:uiPriority w:val="99"/>
    <w:rPr>
      <w:color w:val="605E5C"/>
      <w:shd w:val="clear" w:color="auto" w:fill="E1DFDD"/>
    </w:rPr>
  </w:style>
  <w:style w:type="character" w:customStyle="1" w:styleId="62">
    <w:name w:val="页眉 字符"/>
    <w:basedOn w:val="37"/>
    <w:link w:val="26"/>
    <w:qFormat/>
    <w:uiPriority w:val="99"/>
    <w:rPr>
      <w:rFonts w:asciiTheme="minorHAnsi" w:hAnsiTheme="minorHAnsi" w:eastAsiaTheme="minorEastAsia"/>
      <w:sz w:val="22"/>
      <w:szCs w:val="22"/>
    </w:rPr>
  </w:style>
  <w:style w:type="character" w:customStyle="1" w:styleId="63">
    <w:name w:val="页脚 字符"/>
    <w:basedOn w:val="37"/>
    <w:link w:val="25"/>
    <w:qFormat/>
    <w:uiPriority w:val="99"/>
    <w:rPr>
      <w:rFonts w:asciiTheme="minorHAnsi" w:hAnsiTheme="minorHAnsi" w:eastAsiaTheme="minorEastAsia"/>
      <w:sz w:val="22"/>
      <w:szCs w:val="22"/>
    </w:rPr>
  </w:style>
  <w:style w:type="character" w:customStyle="1" w:styleId="64">
    <w:name w:val="题注 字符"/>
    <w:link w:val="14"/>
    <w:qFormat/>
    <w:locked/>
    <w:uiPriority w:val="0"/>
    <w:rPr>
      <w:rFonts w:eastAsia="黑体" w:asciiTheme="majorHAnsi" w:hAnsiTheme="majorHAnsi" w:cstheme="majorBidi"/>
      <w:kern w:val="2"/>
    </w:rPr>
  </w:style>
  <w:style w:type="paragraph" w:styleId="65">
    <w:name w:val="List Paragraph"/>
    <w:basedOn w:val="1"/>
    <w:link w:val="66"/>
    <w:qFormat/>
    <w:uiPriority w:val="34"/>
    <w:pPr>
      <w:ind w:firstLine="420"/>
    </w:pPr>
  </w:style>
  <w:style w:type="character" w:customStyle="1" w:styleId="66">
    <w:name w:val="列表段落 字符"/>
    <w:link w:val="65"/>
    <w:qFormat/>
    <w:locked/>
    <w:uiPriority w:val="34"/>
    <w:rPr>
      <w:rFonts w:ascii="Arial" w:hAnsi="Arial" w:cs="宋体"/>
      <w:kern w:val="2"/>
      <w:sz w:val="24"/>
    </w:rPr>
  </w:style>
  <w:style w:type="character" w:customStyle="1" w:styleId="67">
    <w:name w:val="批注框文本 字符"/>
    <w:basedOn w:val="37"/>
    <w:link w:val="24"/>
    <w:semiHidden/>
    <w:qFormat/>
    <w:uiPriority w:val="0"/>
    <w:rPr>
      <w:rFonts w:ascii="Arial" w:hAnsi="Arial" w:cs="宋体"/>
      <w:kern w:val="2"/>
      <w:sz w:val="18"/>
      <w:szCs w:val="18"/>
    </w:rPr>
  </w:style>
  <w:style w:type="paragraph" w:customStyle="1" w:styleId="68">
    <w:name w:val="编号，小四"/>
    <w:basedOn w:val="1"/>
    <w:link w:val="69"/>
    <w:qFormat/>
    <w:uiPriority w:val="0"/>
    <w:pPr>
      <w:numPr>
        <w:ilvl w:val="0"/>
        <w:numId w:val="3"/>
      </w:numPr>
      <w:ind w:firstLineChars="0"/>
    </w:pPr>
  </w:style>
  <w:style w:type="character" w:customStyle="1" w:styleId="69">
    <w:name w:val="编号，小四 Char"/>
    <w:link w:val="68"/>
    <w:qFormat/>
    <w:uiPriority w:val="0"/>
    <w:rPr>
      <w:rFonts w:ascii="宋体" w:hAnsi="宋体" w:cs="宋体"/>
      <w:kern w:val="2"/>
      <w:sz w:val="24"/>
    </w:rPr>
  </w:style>
  <w:style w:type="paragraph" w:customStyle="1" w:styleId="70">
    <w:name w:val="样式 首行缩进:  0 字符"/>
    <w:basedOn w:val="1"/>
    <w:qFormat/>
    <w:uiPriority w:val="0"/>
  </w:style>
  <w:style w:type="paragraph" w:customStyle="1" w:styleId="71">
    <w:name w:val="三级"/>
    <w:basedOn w:val="5"/>
    <w:qFormat/>
    <w:uiPriority w:val="0"/>
    <w:pPr>
      <w:widowControl w:val="0"/>
      <w:numPr>
        <w:numId w:val="3"/>
      </w:numPr>
      <w:tabs>
        <w:tab w:val="left" w:pos="851"/>
        <w:tab w:val="clear" w:pos="720"/>
      </w:tabs>
      <w:spacing w:after="240" w:line="360" w:lineRule="auto"/>
      <w:ind w:left="0" w:leftChars="0"/>
      <w:jc w:val="both"/>
    </w:pPr>
    <w:rPr>
      <w:rFonts w:ascii="仿宋" w:hAnsi="仿宋" w:eastAsia="仿宋" w:cstheme="minorBidi"/>
      <w:b/>
      <w:color w:val="000000"/>
      <w:sz w:val="32"/>
      <w:lang w:val="en-US"/>
    </w:rPr>
  </w:style>
  <w:style w:type="paragraph" w:styleId="72">
    <w:name w:val="No Spacing"/>
    <w:link w:val="73"/>
    <w:qFormat/>
    <w:uiPriority w:val="1"/>
    <w:pPr>
      <w:adjustRightInd w:val="0"/>
      <w:snapToGrid w:val="0"/>
      <w:spacing w:before="60" w:line="264" w:lineRule="auto"/>
      <w:ind w:right="-120" w:firstLine="482"/>
      <w:jc w:val="both"/>
      <w:textAlignment w:val="baseline"/>
    </w:pPr>
    <w:rPr>
      <w:rFonts w:ascii="宋体" w:hAnsi="宋体" w:eastAsia="宋体" w:cs="Times New Roman"/>
      <w:b/>
      <w:color w:val="000000"/>
      <w:sz w:val="24"/>
      <w:szCs w:val="24"/>
      <w:lang w:val="en-US" w:eastAsia="zh-CN" w:bidi="ar-SA"/>
    </w:rPr>
  </w:style>
  <w:style w:type="character" w:customStyle="1" w:styleId="73">
    <w:name w:val="无间隔 字符"/>
    <w:link w:val="72"/>
    <w:qFormat/>
    <w:uiPriority w:val="1"/>
    <w:rPr>
      <w:rFonts w:ascii="宋体" w:hAnsi="宋体"/>
      <w:b/>
      <w:color w:val="000000"/>
      <w:sz w:val="24"/>
      <w:szCs w:val="24"/>
    </w:rPr>
  </w:style>
  <w:style w:type="table" w:customStyle="1" w:styleId="74">
    <w:name w:val="Table"/>
    <w:basedOn w:val="36"/>
    <w:qFormat/>
    <w:uiPriority w:val="0"/>
    <w:pPr>
      <w:spacing w:line="240" w:lineRule="auto"/>
      <w:ind w:firstLine="0" w:firstLineChars="0"/>
      <w:jc w:val="left"/>
    </w:pPr>
    <w:rPr>
      <w:rFonts w:cs="Arial" w:eastAsiaTheme="minorEastAsia"/>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paragraph" w:customStyle="1" w:styleId="75">
    <w:name w:val="msonormal"/>
    <w:basedOn w:val="1"/>
    <w:qFormat/>
    <w:uiPriority w:val="0"/>
    <w:pPr>
      <w:widowControl/>
      <w:spacing w:before="100" w:beforeAutospacing="1" w:after="100" w:afterAutospacing="1" w:line="240" w:lineRule="auto"/>
      <w:ind w:firstLine="0" w:firstLineChars="0"/>
      <w:jc w:val="left"/>
    </w:pPr>
    <w:rPr>
      <w:kern w:val="0"/>
      <w:szCs w:val="24"/>
    </w:rPr>
  </w:style>
  <w:style w:type="paragraph" w:customStyle="1" w:styleId="76">
    <w:name w:val="font5"/>
    <w:basedOn w:val="1"/>
    <w:qFormat/>
    <w:uiPriority w:val="0"/>
    <w:pPr>
      <w:widowControl/>
      <w:spacing w:before="100" w:beforeAutospacing="1" w:after="100" w:afterAutospacing="1" w:line="240" w:lineRule="auto"/>
      <w:ind w:firstLine="0" w:firstLineChars="0"/>
      <w:jc w:val="left"/>
    </w:pPr>
    <w:rPr>
      <w:rFonts w:ascii="等线" w:hAnsi="等线" w:eastAsia="等线"/>
      <w:kern w:val="0"/>
      <w:sz w:val="18"/>
      <w:szCs w:val="18"/>
    </w:rPr>
  </w:style>
  <w:style w:type="paragraph" w:customStyle="1" w:styleId="77">
    <w:name w:val="font6"/>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78">
    <w:name w:val="font7"/>
    <w:basedOn w:val="1"/>
    <w:qFormat/>
    <w:uiPriority w:val="0"/>
    <w:pPr>
      <w:widowControl/>
      <w:spacing w:before="100" w:beforeAutospacing="1" w:after="100" w:afterAutospacing="1" w:line="240" w:lineRule="auto"/>
      <w:ind w:firstLine="0" w:firstLineChars="0"/>
      <w:jc w:val="left"/>
    </w:pPr>
    <w:rPr>
      <w:rFonts w:ascii="等线" w:hAnsi="等线" w:eastAsia="等线"/>
      <w:kern w:val="0"/>
      <w:sz w:val="18"/>
      <w:szCs w:val="18"/>
    </w:rPr>
  </w:style>
  <w:style w:type="paragraph" w:customStyle="1" w:styleId="79">
    <w:name w:val="font8"/>
    <w:basedOn w:val="1"/>
    <w:qFormat/>
    <w:uiPriority w:val="0"/>
    <w:pPr>
      <w:widowControl/>
      <w:spacing w:before="100" w:beforeAutospacing="1" w:after="100" w:afterAutospacing="1" w:line="240" w:lineRule="auto"/>
      <w:ind w:firstLine="0" w:firstLineChars="0"/>
      <w:jc w:val="left"/>
    </w:pPr>
    <w:rPr>
      <w:color w:val="FF0000"/>
      <w:kern w:val="0"/>
      <w:sz w:val="20"/>
    </w:rPr>
  </w:style>
  <w:style w:type="paragraph" w:customStyle="1" w:styleId="80">
    <w:name w:val="font9"/>
    <w:basedOn w:val="1"/>
    <w:qFormat/>
    <w:uiPriority w:val="0"/>
    <w:pPr>
      <w:widowControl/>
      <w:spacing w:before="100" w:beforeAutospacing="1" w:after="100" w:afterAutospacing="1" w:line="240" w:lineRule="auto"/>
      <w:ind w:firstLine="0" w:firstLineChars="0"/>
      <w:jc w:val="left"/>
    </w:pPr>
    <w:rPr>
      <w:kern w:val="0"/>
      <w:sz w:val="20"/>
    </w:rPr>
  </w:style>
  <w:style w:type="paragraph" w:customStyle="1" w:styleId="81">
    <w:name w:val="xl67"/>
    <w:basedOn w:val="1"/>
    <w:qFormat/>
    <w:uiPriority w:val="0"/>
    <w:pPr>
      <w:widowControl/>
      <w:spacing w:before="100" w:beforeAutospacing="1" w:after="100" w:afterAutospacing="1" w:line="240" w:lineRule="auto"/>
      <w:ind w:firstLine="0" w:firstLineChars="0"/>
      <w:jc w:val="left"/>
    </w:pPr>
    <w:rPr>
      <w:kern w:val="0"/>
      <w:sz w:val="20"/>
    </w:rPr>
  </w:style>
  <w:style w:type="paragraph" w:customStyle="1" w:styleId="8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20"/>
    </w:rPr>
  </w:style>
  <w:style w:type="paragraph" w:customStyle="1" w:styleId="8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color w:val="FF0000"/>
      <w:kern w:val="0"/>
      <w:sz w:val="20"/>
    </w:rPr>
  </w:style>
  <w:style w:type="paragraph" w:customStyle="1" w:styleId="8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b/>
      <w:bCs/>
      <w:kern w:val="0"/>
      <w:sz w:val="20"/>
    </w:rPr>
  </w:style>
  <w:style w:type="paragraph" w:customStyle="1" w:styleId="8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b/>
      <w:bCs/>
      <w:kern w:val="0"/>
      <w:sz w:val="20"/>
    </w:rPr>
  </w:style>
  <w:style w:type="paragraph" w:customStyle="1" w:styleId="8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b/>
      <w:bCs/>
      <w:color w:val="FF0000"/>
      <w:kern w:val="0"/>
      <w:sz w:val="20"/>
    </w:rPr>
  </w:style>
  <w:style w:type="paragraph" w:customStyle="1" w:styleId="87">
    <w:name w:val="xl73"/>
    <w:basedOn w:val="1"/>
    <w:qFormat/>
    <w:uiPriority w:val="0"/>
    <w:pPr>
      <w:widowControl/>
      <w:spacing w:before="100" w:beforeAutospacing="1" w:after="100" w:afterAutospacing="1" w:line="240" w:lineRule="auto"/>
      <w:ind w:firstLine="0" w:firstLineChars="0"/>
      <w:jc w:val="center"/>
    </w:pPr>
    <w:rPr>
      <w:kern w:val="0"/>
      <w:sz w:val="20"/>
    </w:rPr>
  </w:style>
  <w:style w:type="paragraph" w:customStyle="1" w:styleId="8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20"/>
    </w:rPr>
  </w:style>
  <w:style w:type="paragraph" w:customStyle="1" w:styleId="8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kern w:val="0"/>
      <w:sz w:val="20"/>
    </w:rPr>
  </w:style>
  <w:style w:type="paragraph" w:customStyle="1" w:styleId="9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kern w:val="0"/>
      <w:sz w:val="20"/>
    </w:rPr>
  </w:style>
  <w:style w:type="paragraph" w:customStyle="1" w:styleId="9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20"/>
    </w:rPr>
  </w:style>
  <w:style w:type="paragraph" w:customStyle="1" w:styleId="9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kern w:val="0"/>
      <w:sz w:val="20"/>
    </w:rPr>
  </w:style>
  <w:style w:type="paragraph" w:customStyle="1" w:styleId="9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kern w:val="0"/>
      <w:sz w:val="20"/>
    </w:rPr>
  </w:style>
  <w:style w:type="paragraph" w:customStyle="1" w:styleId="9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b/>
      <w:bCs/>
      <w:color w:val="C00000"/>
      <w:kern w:val="0"/>
      <w:sz w:val="20"/>
    </w:rPr>
  </w:style>
  <w:style w:type="paragraph" w:customStyle="1" w:styleId="9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kern w:val="0"/>
      <w:sz w:val="20"/>
    </w:rPr>
  </w:style>
  <w:style w:type="paragraph" w:customStyle="1" w:styleId="9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kern w:val="0"/>
      <w:sz w:val="20"/>
    </w:rPr>
  </w:style>
  <w:style w:type="paragraph" w:customStyle="1" w:styleId="9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top"/>
    </w:pPr>
    <w:rPr>
      <w:kern w:val="0"/>
      <w:sz w:val="20"/>
    </w:rPr>
  </w:style>
  <w:style w:type="paragraph" w:customStyle="1" w:styleId="9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color w:val="FF0000"/>
      <w:kern w:val="0"/>
      <w:sz w:val="20"/>
    </w:rPr>
  </w:style>
  <w:style w:type="paragraph" w:customStyle="1" w:styleId="9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color w:val="FF0000"/>
      <w:kern w:val="0"/>
      <w:sz w:val="20"/>
    </w:rPr>
  </w:style>
  <w:style w:type="paragraph" w:customStyle="1" w:styleId="100">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FF0000"/>
      <w:kern w:val="0"/>
      <w:sz w:val="20"/>
    </w:rPr>
  </w:style>
  <w:style w:type="paragraph" w:customStyle="1" w:styleId="101">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color w:val="FF0000"/>
      <w:kern w:val="0"/>
      <w:sz w:val="20"/>
    </w:rPr>
  </w:style>
  <w:style w:type="paragraph" w:customStyle="1" w:styleId="10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kern w:val="0"/>
      <w:sz w:val="20"/>
    </w:rPr>
  </w:style>
  <w:style w:type="paragraph" w:customStyle="1" w:styleId="103">
    <w:name w:val="xl89"/>
    <w:basedOn w:val="1"/>
    <w:qFormat/>
    <w:uiPriority w:val="0"/>
    <w:pPr>
      <w:widowControl/>
      <w:pBdr>
        <w:bottom w:val="single" w:color="auto" w:sz="4" w:space="0"/>
      </w:pBdr>
      <w:spacing w:before="100" w:beforeAutospacing="1" w:after="100" w:afterAutospacing="1" w:line="240" w:lineRule="auto"/>
      <w:ind w:firstLine="0" w:firstLineChars="0"/>
      <w:jc w:val="left"/>
    </w:pPr>
    <w:rPr>
      <w:kern w:val="0"/>
      <w:sz w:val="20"/>
    </w:rPr>
  </w:style>
  <w:style w:type="paragraph" w:customStyle="1" w:styleId="104">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kern w:val="0"/>
      <w:sz w:val="20"/>
    </w:rPr>
  </w:style>
  <w:style w:type="paragraph" w:customStyle="1" w:styleId="105">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kern w:val="0"/>
      <w:sz w:val="20"/>
    </w:rPr>
  </w:style>
  <w:style w:type="paragraph" w:customStyle="1" w:styleId="10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20"/>
    </w:rPr>
  </w:style>
  <w:style w:type="paragraph" w:customStyle="1" w:styleId="107">
    <w:name w:val="xl93"/>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textAlignment w:val="center"/>
    </w:pPr>
    <w:rPr>
      <w:kern w:val="0"/>
      <w:sz w:val="20"/>
    </w:rPr>
  </w:style>
  <w:style w:type="paragraph" w:customStyle="1" w:styleId="108">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kern w:val="0"/>
      <w:sz w:val="20"/>
    </w:rPr>
  </w:style>
  <w:style w:type="paragraph" w:customStyle="1" w:styleId="109">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kern w:val="0"/>
      <w:sz w:val="20"/>
    </w:rPr>
  </w:style>
  <w:style w:type="paragraph" w:customStyle="1" w:styleId="110">
    <w:name w:val="xl96"/>
    <w:basedOn w:val="1"/>
    <w:qFormat/>
    <w:uiPriority w:val="0"/>
    <w:pPr>
      <w:widowControl/>
      <w:spacing w:before="100" w:beforeAutospacing="1" w:after="100" w:afterAutospacing="1" w:line="240" w:lineRule="auto"/>
      <w:ind w:firstLine="0" w:firstLineChars="0"/>
      <w:jc w:val="left"/>
    </w:pPr>
    <w:rPr>
      <w:color w:val="FF0000"/>
      <w:kern w:val="0"/>
      <w:sz w:val="20"/>
    </w:rPr>
  </w:style>
  <w:style w:type="paragraph" w:customStyle="1" w:styleId="11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20"/>
    </w:rPr>
  </w:style>
  <w:style w:type="paragraph" w:customStyle="1" w:styleId="112">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color w:val="FF0000"/>
      <w:kern w:val="0"/>
      <w:sz w:val="20"/>
    </w:rPr>
  </w:style>
  <w:style w:type="paragraph" w:customStyle="1" w:styleId="113">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FF0000"/>
      <w:kern w:val="0"/>
      <w:sz w:val="20"/>
    </w:rPr>
  </w:style>
  <w:style w:type="paragraph" w:customStyle="1" w:styleId="11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color w:val="000000"/>
      <w:kern w:val="0"/>
      <w:sz w:val="20"/>
    </w:rPr>
  </w:style>
  <w:style w:type="paragraph" w:customStyle="1" w:styleId="115">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color w:val="FF0000"/>
      <w:kern w:val="0"/>
      <w:sz w:val="20"/>
    </w:rPr>
  </w:style>
  <w:style w:type="paragraph" w:customStyle="1" w:styleId="116">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color w:val="FF0000"/>
      <w:kern w:val="0"/>
      <w:sz w:val="20"/>
    </w:rPr>
  </w:style>
  <w:style w:type="paragraph" w:customStyle="1" w:styleId="117">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kern w:val="0"/>
      <w:sz w:val="20"/>
    </w:rPr>
  </w:style>
  <w:style w:type="paragraph" w:customStyle="1" w:styleId="118">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FF0000"/>
      <w:kern w:val="0"/>
      <w:sz w:val="20"/>
    </w:rPr>
  </w:style>
  <w:style w:type="paragraph" w:customStyle="1" w:styleId="11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color w:val="FF0000"/>
      <w:kern w:val="0"/>
      <w:sz w:val="20"/>
    </w:rPr>
  </w:style>
  <w:style w:type="paragraph" w:customStyle="1" w:styleId="120">
    <w:name w:val="xl10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kern w:val="0"/>
      <w:sz w:val="20"/>
    </w:rPr>
  </w:style>
  <w:style w:type="paragraph" w:customStyle="1" w:styleId="121">
    <w:name w:val="xl10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kern w:val="0"/>
      <w:sz w:val="20"/>
    </w:rPr>
  </w:style>
  <w:style w:type="paragraph" w:customStyle="1" w:styleId="122">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rPr>
  </w:style>
  <w:style w:type="paragraph" w:customStyle="1" w:styleId="123">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textAlignment w:val="center"/>
    </w:pPr>
    <w:rPr>
      <w:b/>
      <w:bCs/>
      <w:kern w:val="0"/>
      <w:sz w:val="20"/>
    </w:rPr>
  </w:style>
  <w:style w:type="paragraph" w:customStyle="1" w:styleId="124">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textAlignment w:val="center"/>
    </w:pPr>
    <w:rPr>
      <w:b/>
      <w:bCs/>
      <w:kern w:val="0"/>
      <w:sz w:val="20"/>
    </w:rPr>
  </w:style>
  <w:style w:type="paragraph" w:customStyle="1" w:styleId="125">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firstLine="0" w:firstLineChars="0"/>
      <w:jc w:val="center"/>
      <w:textAlignment w:val="center"/>
    </w:pPr>
    <w:rPr>
      <w:b/>
      <w:bCs/>
      <w:kern w:val="0"/>
      <w:sz w:val="20"/>
    </w:rPr>
  </w:style>
  <w:style w:type="paragraph" w:customStyle="1" w:styleId="126">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kern w:val="0"/>
      <w:sz w:val="20"/>
    </w:rPr>
  </w:style>
  <w:style w:type="paragraph" w:customStyle="1" w:styleId="127">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color w:val="000000"/>
      <w:kern w:val="0"/>
      <w:sz w:val="20"/>
    </w:rPr>
  </w:style>
  <w:style w:type="paragraph" w:customStyle="1" w:styleId="128">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rPr>
  </w:style>
  <w:style w:type="paragraph" w:customStyle="1" w:styleId="129">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kern w:val="0"/>
      <w:sz w:val="20"/>
    </w:rPr>
  </w:style>
  <w:style w:type="paragraph" w:customStyle="1" w:styleId="130">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kern w:val="0"/>
      <w:sz w:val="20"/>
    </w:rPr>
  </w:style>
  <w:style w:type="paragraph" w:customStyle="1" w:styleId="131">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kern w:val="0"/>
      <w:sz w:val="20"/>
    </w:rPr>
  </w:style>
  <w:style w:type="paragraph" w:customStyle="1" w:styleId="132">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rPr>
  </w:style>
  <w:style w:type="paragraph" w:customStyle="1" w:styleId="133">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kern w:val="0"/>
      <w:sz w:val="20"/>
    </w:rPr>
  </w:style>
  <w:style w:type="paragraph" w:customStyle="1" w:styleId="134">
    <w:name w:val="xl120"/>
    <w:basedOn w:val="1"/>
    <w:qFormat/>
    <w:uiPriority w:val="0"/>
    <w:pPr>
      <w:widowControl/>
      <w:spacing w:before="100" w:beforeAutospacing="1" w:after="100" w:afterAutospacing="1" w:line="240" w:lineRule="auto"/>
      <w:ind w:firstLine="0" w:firstLineChars="0"/>
      <w:jc w:val="left"/>
    </w:pPr>
    <w:rPr>
      <w:kern w:val="0"/>
      <w:sz w:val="20"/>
    </w:rPr>
  </w:style>
  <w:style w:type="paragraph" w:customStyle="1" w:styleId="135">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b/>
      <w:bCs/>
      <w:kern w:val="0"/>
      <w:sz w:val="20"/>
    </w:rPr>
  </w:style>
  <w:style w:type="paragraph" w:customStyle="1" w:styleId="136">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kern w:val="0"/>
      <w:sz w:val="20"/>
    </w:rPr>
  </w:style>
  <w:style w:type="paragraph" w:customStyle="1" w:styleId="137">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b/>
      <w:bCs/>
      <w:color w:val="FF0000"/>
      <w:kern w:val="0"/>
      <w:sz w:val="20"/>
    </w:rPr>
  </w:style>
  <w:style w:type="paragraph" w:customStyle="1" w:styleId="138">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20"/>
    </w:rPr>
  </w:style>
  <w:style w:type="paragraph" w:customStyle="1" w:styleId="139">
    <w:name w:val="xl125"/>
    <w:basedOn w:val="1"/>
    <w:qFormat/>
    <w:uiPriority w:val="0"/>
    <w:pPr>
      <w:widowControl/>
      <w:pBdr>
        <w:bottom w:val="single" w:color="auto" w:sz="4" w:space="0"/>
      </w:pBdr>
      <w:spacing w:before="100" w:beforeAutospacing="1" w:after="100" w:afterAutospacing="1" w:line="240" w:lineRule="auto"/>
      <w:ind w:firstLine="0" w:firstLineChars="0"/>
      <w:jc w:val="center"/>
      <w:textAlignment w:val="center"/>
    </w:pPr>
    <w:rPr>
      <w:b/>
      <w:bCs/>
      <w:kern w:val="0"/>
      <w:sz w:val="28"/>
      <w:szCs w:val="28"/>
    </w:rPr>
  </w:style>
  <w:style w:type="paragraph" w:customStyle="1" w:styleId="140">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b/>
      <w:bCs/>
      <w:color w:val="FF0000"/>
      <w:kern w:val="0"/>
      <w:sz w:val="20"/>
    </w:rPr>
  </w:style>
  <w:style w:type="character" w:customStyle="1" w:styleId="141">
    <w:name w:val="应答正文项目符号1 Char Char"/>
    <w:basedOn w:val="37"/>
    <w:link w:val="142"/>
    <w:qFormat/>
    <w:uiPriority w:val="0"/>
    <w:rPr>
      <w:rFonts w:eastAsia="仿宋"/>
      <w:b/>
      <w:kern w:val="2"/>
      <w:sz w:val="24"/>
      <w:szCs w:val="24"/>
    </w:rPr>
  </w:style>
  <w:style w:type="paragraph" w:customStyle="1" w:styleId="142">
    <w:name w:val="应答正文项目符号1"/>
    <w:basedOn w:val="1"/>
    <w:link w:val="141"/>
    <w:qFormat/>
    <w:uiPriority w:val="0"/>
    <w:pPr>
      <w:spacing w:before="156" w:beforeLines="50" w:after="156" w:afterLines="50" w:line="288" w:lineRule="auto"/>
      <w:ind w:firstLine="0" w:firstLineChars="0"/>
      <w:contextualSpacing/>
    </w:pPr>
    <w:rPr>
      <w:rFonts w:ascii="Times New Roman" w:hAnsi="Times New Roman" w:eastAsia="仿宋" w:cs="Times New Roman"/>
      <w:b/>
      <w:szCs w:val="24"/>
    </w:rPr>
  </w:style>
  <w:style w:type="paragraph" w:customStyle="1" w:styleId="143">
    <w:name w:val="图表名称"/>
    <w:basedOn w:val="1"/>
    <w:link w:val="144"/>
    <w:qFormat/>
    <w:uiPriority w:val="0"/>
    <w:pPr>
      <w:spacing w:before="120" w:after="240" w:line="240" w:lineRule="auto"/>
      <w:ind w:firstLine="0" w:firstLineChars="0"/>
      <w:jc w:val="center"/>
    </w:pPr>
    <w:rPr>
      <w:sz w:val="21"/>
    </w:rPr>
  </w:style>
  <w:style w:type="character" w:customStyle="1" w:styleId="144">
    <w:name w:val="图表名称 字符"/>
    <w:basedOn w:val="37"/>
    <w:link w:val="143"/>
    <w:qFormat/>
    <w:uiPriority w:val="0"/>
    <w:rPr>
      <w:rFonts w:ascii="宋体" w:hAnsi="宋体" w:cs="宋体"/>
      <w:kern w:val="2"/>
      <w:sz w:val="21"/>
    </w:rPr>
  </w:style>
  <w:style w:type="paragraph" w:customStyle="1" w:styleId="145">
    <w:name w:val="列表悬挂"/>
    <w:basedOn w:val="1"/>
    <w:link w:val="146"/>
    <w:qFormat/>
    <w:uiPriority w:val="0"/>
    <w:pPr>
      <w:numPr>
        <w:ilvl w:val="0"/>
        <w:numId w:val="4"/>
      </w:numPr>
      <w:ind w:left="0" w:firstLine="454" w:firstLineChars="0"/>
    </w:pPr>
  </w:style>
  <w:style w:type="character" w:customStyle="1" w:styleId="146">
    <w:name w:val="列表悬挂 字符"/>
    <w:basedOn w:val="37"/>
    <w:link w:val="145"/>
    <w:qFormat/>
    <w:uiPriority w:val="0"/>
    <w:rPr>
      <w:rFonts w:ascii="宋体" w:hAnsi="宋体" w:cs="宋体"/>
      <w:kern w:val="2"/>
      <w:sz w:val="24"/>
    </w:rPr>
  </w:style>
  <w:style w:type="paragraph" w:customStyle="1" w:styleId="147">
    <w:name w:val="无级别小标题"/>
    <w:basedOn w:val="1"/>
    <w:link w:val="148"/>
    <w:qFormat/>
    <w:uiPriority w:val="0"/>
    <w:pPr>
      <w:numPr>
        <w:ilvl w:val="0"/>
        <w:numId w:val="5"/>
      </w:numPr>
      <w:ind w:left="200" w:leftChars="200" w:firstLine="0" w:firstLineChars="0"/>
      <w:jc w:val="left"/>
    </w:pPr>
    <w:rPr>
      <w:b/>
    </w:rPr>
  </w:style>
  <w:style w:type="character" w:customStyle="1" w:styleId="148">
    <w:name w:val="无级别小标题 字符"/>
    <w:basedOn w:val="37"/>
    <w:link w:val="147"/>
    <w:qFormat/>
    <w:uiPriority w:val="0"/>
    <w:rPr>
      <w:rFonts w:ascii="宋体" w:hAnsi="宋体" w:cs="宋体"/>
      <w:b/>
      <w:kern w:val="2"/>
      <w:sz w:val="24"/>
    </w:rPr>
  </w:style>
  <w:style w:type="paragraph" w:customStyle="1" w:styleId="149">
    <w:name w:val="3级标题"/>
    <w:basedOn w:val="1"/>
    <w:link w:val="150"/>
    <w:qFormat/>
    <w:uiPriority w:val="0"/>
    <w:pPr>
      <w:keepLines/>
      <w:numPr>
        <w:ilvl w:val="2"/>
        <w:numId w:val="6"/>
      </w:numPr>
      <w:spacing w:before="120" w:after="120"/>
      <w:ind w:firstLine="0" w:firstLineChars="0"/>
      <w:contextualSpacing/>
      <w:jc w:val="left"/>
      <w:outlineLvl w:val="2"/>
    </w:pPr>
    <w:rPr>
      <w:rFonts w:ascii="Times New Roman" w:hAnsi="Times New Roman" w:cs="Times New Roman"/>
      <w:kern w:val="0"/>
      <w:sz w:val="28"/>
      <w:szCs w:val="36"/>
      <w:lang w:eastAsia="en-US" w:bidi="en-US"/>
    </w:rPr>
  </w:style>
  <w:style w:type="character" w:customStyle="1" w:styleId="150">
    <w:name w:val="3级标题 Char Char"/>
    <w:link w:val="149"/>
    <w:qFormat/>
    <w:uiPriority w:val="0"/>
    <w:rPr>
      <w:sz w:val="28"/>
      <w:szCs w:val="36"/>
      <w:lang w:eastAsia="en-US" w:bidi="en-US"/>
    </w:rPr>
  </w:style>
  <w:style w:type="paragraph" w:customStyle="1" w:styleId="151">
    <w:name w:val="2级标题"/>
    <w:basedOn w:val="1"/>
    <w:link w:val="152"/>
    <w:qFormat/>
    <w:uiPriority w:val="0"/>
    <w:pPr>
      <w:keepLines/>
      <w:numPr>
        <w:ilvl w:val="1"/>
        <w:numId w:val="6"/>
      </w:numPr>
      <w:spacing w:before="240" w:after="120"/>
      <w:ind w:firstLine="0" w:firstLineChars="0"/>
      <w:contextualSpacing/>
      <w:jc w:val="left"/>
      <w:outlineLvl w:val="1"/>
    </w:pPr>
    <w:rPr>
      <w:rFonts w:ascii="Times New Roman" w:hAnsi="Times New Roman" w:cs="Times New Roman"/>
      <w:kern w:val="0"/>
      <w:sz w:val="32"/>
      <w:szCs w:val="36"/>
      <w:lang w:eastAsia="en-US" w:bidi="en-US"/>
    </w:rPr>
  </w:style>
  <w:style w:type="character" w:customStyle="1" w:styleId="152">
    <w:name w:val="2级标题 Char"/>
    <w:link w:val="151"/>
    <w:qFormat/>
    <w:uiPriority w:val="0"/>
    <w:rPr>
      <w:sz w:val="32"/>
      <w:szCs w:val="36"/>
      <w:lang w:eastAsia="en-US" w:bidi="en-US"/>
    </w:rPr>
  </w:style>
  <w:style w:type="paragraph" w:customStyle="1" w:styleId="153">
    <w:name w:val="1级标题"/>
    <w:basedOn w:val="1"/>
    <w:link w:val="154"/>
    <w:qFormat/>
    <w:uiPriority w:val="0"/>
    <w:pPr>
      <w:keepLines/>
      <w:pageBreakBefore/>
      <w:numPr>
        <w:ilvl w:val="0"/>
        <w:numId w:val="6"/>
      </w:numPr>
      <w:spacing w:before="240" w:after="240"/>
      <w:contextualSpacing/>
      <w:jc w:val="center"/>
      <w:outlineLvl w:val="0"/>
    </w:pPr>
    <w:rPr>
      <w:rFonts w:ascii="Times New Roman" w:hAnsi="Times New Roman" w:cs="Times New Roman"/>
      <w:kern w:val="0"/>
      <w:sz w:val="36"/>
      <w:szCs w:val="36"/>
      <w:lang w:eastAsia="en-US" w:bidi="en-US"/>
    </w:rPr>
  </w:style>
  <w:style w:type="character" w:customStyle="1" w:styleId="154">
    <w:name w:val="1级标题 Char Char"/>
    <w:link w:val="153"/>
    <w:qFormat/>
    <w:uiPriority w:val="0"/>
    <w:rPr>
      <w:sz w:val="36"/>
      <w:szCs w:val="36"/>
      <w:lang w:eastAsia="en-US" w:bidi="en-US"/>
    </w:rPr>
  </w:style>
  <w:style w:type="paragraph" w:customStyle="1" w:styleId="155">
    <w:name w:val="GP正文(无首行缩进)"/>
    <w:basedOn w:val="1"/>
    <w:qFormat/>
    <w:uiPriority w:val="0"/>
    <w:pPr>
      <w:ind w:firstLine="480"/>
      <w:jc w:val="left"/>
    </w:pPr>
    <w:rPr>
      <w:rFonts w:ascii="Times New Roman" w:cs="Times New Roman"/>
      <w:szCs w:val="24"/>
    </w:rPr>
  </w:style>
  <w:style w:type="paragraph" w:customStyle="1" w:styleId="156">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20"/>
    </w:rPr>
  </w:style>
  <w:style w:type="paragraph" w:customStyle="1" w:styleId="157">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color w:val="FF0000"/>
      <w:kern w:val="0"/>
      <w:sz w:val="20"/>
    </w:rPr>
  </w:style>
  <w:style w:type="paragraph" w:customStyle="1" w:styleId="158">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pPr>
    <w:rPr>
      <w:b/>
      <w:bCs/>
      <w:kern w:val="0"/>
      <w:sz w:val="20"/>
    </w:rPr>
  </w:style>
  <w:style w:type="paragraph" w:customStyle="1" w:styleId="159">
    <w:name w:val="xl130"/>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20"/>
    </w:rPr>
  </w:style>
  <w:style w:type="paragraph" w:customStyle="1" w:styleId="160">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left"/>
    </w:pPr>
    <w:rPr>
      <w:b/>
      <w:bCs/>
      <w:kern w:val="0"/>
      <w:sz w:val="20"/>
    </w:rPr>
  </w:style>
  <w:style w:type="paragraph" w:customStyle="1" w:styleId="161">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color w:val="FF0000"/>
      <w:kern w:val="0"/>
      <w:sz w:val="20"/>
    </w:rPr>
  </w:style>
  <w:style w:type="paragraph" w:customStyle="1" w:styleId="162">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rPr>
  </w:style>
  <w:style w:type="paragraph" w:customStyle="1" w:styleId="163">
    <w:name w:val="xl134"/>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right"/>
      <w:textAlignment w:val="center"/>
    </w:pPr>
    <w:rPr>
      <w:b/>
      <w:bCs/>
      <w:kern w:val="0"/>
      <w:sz w:val="20"/>
    </w:rPr>
  </w:style>
  <w:style w:type="character" w:customStyle="1" w:styleId="164">
    <w:name w:val="正文文本 字符"/>
    <w:basedOn w:val="37"/>
    <w:link w:val="16"/>
    <w:qFormat/>
    <w:uiPriority w:val="0"/>
    <w:rPr>
      <w:rFonts w:ascii="Arial" w:hAnsi="Arial" w:cstheme="minorBidi"/>
      <w:sz w:val="24"/>
      <w:szCs w:val="22"/>
    </w:rPr>
  </w:style>
  <w:style w:type="character" w:customStyle="1" w:styleId="165">
    <w:name w:val="日期 字符"/>
    <w:basedOn w:val="37"/>
    <w:link w:val="23"/>
    <w:qFormat/>
    <w:uiPriority w:val="0"/>
    <w:rPr>
      <w:rFonts w:ascii="宋体" w:hAnsi="宋体" w:cs="宋体"/>
      <w:kern w:val="2"/>
      <w:sz w:val="24"/>
    </w:rPr>
  </w:style>
  <w:style w:type="paragraph" w:customStyle="1" w:styleId="166">
    <w:name w:val="正文文本TT"/>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167">
    <w:name w:val="方案正文"/>
    <w:basedOn w:val="1"/>
    <w:qFormat/>
    <w:uiPriority w:val="0"/>
    <w:pPr>
      <w:spacing w:before="156"/>
      <w:ind w:firstLine="359" w:firstLineChars="171"/>
    </w:pPr>
    <w:rPr>
      <w:rFonts w:ascii="Arial" w:hAnsi="Arial" w:cs="宋体"/>
      <w:szCs w:val="21"/>
    </w:rPr>
  </w:style>
  <w:style w:type="paragraph" w:customStyle="1" w:styleId="168">
    <w:name w:val="正文_0"/>
    <w:qFormat/>
    <w:uiPriority w:val="0"/>
    <w:rPr>
      <w:rFonts w:ascii="Times New Roman" w:hAnsi="Times New Roman" w:eastAsia="宋体" w:cs="Times New Roman"/>
      <w:sz w:val="21"/>
      <w:lang w:val="en-US" w:eastAsia="zh-CN" w:bidi="ar-SA"/>
    </w:rPr>
  </w:style>
  <w:style w:type="paragraph" w:customStyle="1" w:styleId="169">
    <w:name w:val="表格"/>
    <w:basedOn w:val="1"/>
    <w:qFormat/>
    <w:uiPriority w:val="0"/>
    <w:pPr>
      <w:widowControl/>
      <w:pBdr>
        <w:top w:val="none" w:color="auto" w:sz="0" w:space="1"/>
        <w:left w:val="none" w:color="auto" w:sz="0" w:space="4"/>
        <w:bottom w:val="none" w:color="auto" w:sz="0" w:space="1"/>
        <w:right w:val="none" w:color="auto" w:sz="0" w:space="4"/>
      </w:pBdr>
      <w:shd w:val="clear" w:color="auto" w:fill="FFFFFF"/>
      <w:contextualSpacing/>
      <w:jc w:val="center"/>
    </w:pPr>
    <w:rPr>
      <w:rFonts w:ascii="宋体" w:hAnsi="宋体" w:eastAsia="宋体"/>
      <w:b/>
      <w:sz w:val="24"/>
      <w:lang w:val="en-GB"/>
    </w:rPr>
  </w:style>
  <w:style w:type="paragraph" w:customStyle="1" w:styleId="170">
    <w:name w:val="首行缩进"/>
    <w:basedOn w:val="1"/>
    <w:qFormat/>
    <w:uiPriority w:val="0"/>
    <w:pPr>
      <w:spacing w:line="240" w:lineRule="auto"/>
      <w:ind w:firstLine="480"/>
    </w:pPr>
    <w:rPr>
      <w:rFonts w:ascii="Calibri" w:hAnsi="Calibri" w:cs="Times New Roman"/>
      <w:lang w:val="zh-CN"/>
    </w:rPr>
  </w:style>
  <w:style w:type="character" w:customStyle="1" w:styleId="171">
    <w:name w:val="font21"/>
    <w:basedOn w:val="37"/>
    <w:qFormat/>
    <w:uiPriority w:val="0"/>
    <w:rPr>
      <w:rFonts w:hint="eastAsia" w:ascii="宋体" w:hAnsi="宋体" w:eastAsia="宋体" w:cs="宋体"/>
      <w:color w:val="000000"/>
      <w:sz w:val="20"/>
      <w:szCs w:val="20"/>
      <w:u w:val="none"/>
    </w:rPr>
  </w:style>
  <w:style w:type="paragraph" w:customStyle="1" w:styleId="172">
    <w:name w:val="正文-cn"/>
    <w:qFormat/>
    <w:uiPriority w:val="0"/>
    <w:pPr>
      <w:spacing w:before="15" w:beforeLines="15" w:after="30" w:afterLines="30" w:line="360" w:lineRule="auto"/>
      <w:ind w:firstLine="200" w:firstLineChars="200"/>
    </w:pPr>
    <w:rPr>
      <w:rFonts w:ascii="Arial" w:hAnsi="Arial" w:eastAsia="宋体" w:cs="Times New Roman"/>
      <w:kern w:val="2"/>
      <w:sz w:val="24"/>
      <w:szCs w:val="24"/>
      <w:lang w:val="en-US" w:eastAsia="zh-CN" w:bidi="ar-SA"/>
    </w:rPr>
  </w:style>
  <w:style w:type="paragraph" w:customStyle="1" w:styleId="173">
    <w:name w:val="列表段落1"/>
    <w:basedOn w:val="1"/>
    <w:qFormat/>
    <w:uiPriority w:val="34"/>
    <w:pPr>
      <w:ind w:firstLine="420" w:firstLineChars="200"/>
    </w:pPr>
    <w:rPr>
      <w:rFonts w:ascii="Calibri" w:hAnsi="Calibri" w:eastAsia="宋体" w:cs="宋体"/>
      <w:sz w:val="28"/>
    </w:rPr>
  </w:style>
  <w:style w:type="paragraph" w:customStyle="1" w:styleId="174">
    <w:name w:val="p0"/>
    <w:basedOn w:val="1"/>
    <w:qFormat/>
    <w:uiPriority w:val="0"/>
    <w:pPr>
      <w:widowControl/>
    </w:pPr>
    <w:rPr>
      <w:snapToGrid/>
      <w:szCs w:val="21"/>
    </w:rPr>
  </w:style>
  <w:style w:type="paragraph" w:customStyle="1" w:styleId="175">
    <w:name w:val="列出段落4"/>
    <w:basedOn w:val="1"/>
    <w:qFormat/>
    <w:uiPriority w:val="99"/>
    <w:pPr>
      <w:ind w:firstLine="420" w:firstLineChars="200"/>
    </w:pPr>
  </w:style>
  <w:style w:type="paragraph" w:customStyle="1" w:styleId="176">
    <w:name w:val="列出段落3"/>
    <w:basedOn w:val="1"/>
    <w:qFormat/>
    <w:uiPriority w:val="99"/>
    <w:pPr>
      <w:ind w:firstLine="420" w:firstLineChars="200"/>
    </w:pPr>
  </w:style>
  <w:style w:type="character" w:customStyle="1" w:styleId="177">
    <w:name w:val="font51"/>
    <w:basedOn w:val="37"/>
    <w:qFormat/>
    <w:uiPriority w:val="0"/>
    <w:rPr>
      <w:rFonts w:hint="eastAsia" w:ascii="宋体" w:hAnsi="宋体" w:eastAsia="宋体" w:cs="宋体"/>
      <w:color w:val="000000"/>
      <w:sz w:val="21"/>
      <w:szCs w:val="21"/>
      <w:u w:val="none"/>
    </w:rPr>
  </w:style>
  <w:style w:type="character" w:customStyle="1" w:styleId="178">
    <w:name w:val="font61"/>
    <w:basedOn w:val="37"/>
    <w:qFormat/>
    <w:uiPriority w:val="0"/>
    <w:rPr>
      <w:rFonts w:hint="default" w:ascii="Times New Roman" w:hAnsi="Times New Roman" w:cs="Times New Roman"/>
      <w:color w:val="000000"/>
      <w:sz w:val="21"/>
      <w:szCs w:val="21"/>
      <w:u w:val="none"/>
    </w:rPr>
  </w:style>
  <w:style w:type="paragraph" w:customStyle="1" w:styleId="179">
    <w:name w:val="文章正文"/>
    <w:basedOn w:val="1"/>
    <w:qFormat/>
    <w:uiPriority w:val="99"/>
    <w:pPr>
      <w:spacing w:line="360" w:lineRule="auto"/>
      <w:ind w:firstLine="560"/>
    </w:pPr>
    <w:rPr>
      <w:rFonts w:ascii="Calibri" w:hAnsi="Calibri"/>
    </w:rPr>
  </w:style>
  <w:style w:type="paragraph" w:customStyle="1" w:styleId="180">
    <w:name w:val="三级标题"/>
    <w:basedOn w:val="5"/>
    <w:next w:val="1"/>
    <w:qFormat/>
    <w:uiPriority w:val="0"/>
    <w:pPr>
      <w:tabs>
        <w:tab w:val="left" w:pos="780"/>
        <w:tab w:val="left" w:pos="993"/>
        <w:tab w:val="left" w:pos="1418"/>
        <w:tab w:val="clear" w:pos="720"/>
      </w:tabs>
      <w:spacing w:before="0" w:after="0" w:line="600" w:lineRule="exact"/>
    </w:pPr>
    <w:rPr>
      <w:rFonts w:ascii="仿宋_GB2312" w:hAnsi="仿宋_GB2312" w:eastAsia="仿宋" w:cs="Times New Roman (正文 CS 字体)"/>
    </w:rPr>
  </w:style>
  <w:style w:type="table" w:customStyle="1" w:styleId="181">
    <w:name w:val="网格型1"/>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82">
    <w:name w:val="四级标题"/>
    <w:basedOn w:val="6"/>
    <w:next w:val="1"/>
    <w:qFormat/>
    <w:uiPriority w:val="0"/>
    <w:pPr>
      <w:tabs>
        <w:tab w:val="left" w:pos="780"/>
        <w:tab w:val="left" w:pos="993"/>
        <w:tab w:val="left" w:pos="1418"/>
        <w:tab w:val="clear" w:pos="1080"/>
      </w:tabs>
      <w:spacing w:before="0" w:after="0" w:line="600" w:lineRule="exact"/>
    </w:pPr>
    <w:rPr>
      <w:rFonts w:ascii="仿宋_GB2312" w:hAnsi="仿宋_GB2312" w:eastAsia="仿宋" w:cs="Times New Roman (标题 CS)"/>
      <w:sz w:val="32"/>
      <w:szCs w:val="32"/>
    </w:rPr>
  </w:style>
  <w:style w:type="character" w:customStyle="1" w:styleId="183">
    <w:name w:val="font31"/>
    <w:basedOn w:val="37"/>
    <w:qFormat/>
    <w:uiPriority w:val="0"/>
    <w:rPr>
      <w:rFonts w:hint="default" w:ascii="Times New Roman" w:hAnsi="Times New Roman" w:cs="Times New Roman"/>
      <w:color w:val="000000"/>
      <w:sz w:val="20"/>
      <w:szCs w:val="20"/>
      <w:u w:val="none"/>
    </w:rPr>
  </w:style>
  <w:style w:type="character" w:customStyle="1" w:styleId="184">
    <w:name w:val="font01"/>
    <w:basedOn w:val="37"/>
    <w:qFormat/>
    <w:uiPriority w:val="0"/>
    <w:rPr>
      <w:rFonts w:hint="eastAsia" w:ascii="宋体" w:hAnsi="宋体" w:eastAsia="宋体" w:cs="宋体"/>
      <w:color w:val="000000"/>
      <w:sz w:val="20"/>
      <w:szCs w:val="20"/>
      <w:u w:val="none"/>
    </w:rPr>
  </w:style>
  <w:style w:type="paragraph" w:customStyle="1" w:styleId="185">
    <w:name w:val="__正文"/>
    <w:basedOn w:val="1"/>
    <w:next w:val="1"/>
    <w:qFormat/>
    <w:uiPriority w:val="0"/>
    <w:pPr>
      <w:spacing w:line="360" w:lineRule="auto"/>
      <w:ind w:firstLine="200" w:firstLineChars="200"/>
    </w:pPr>
    <w:rPr>
      <w:rFonts w:ascii="Times New Roman"/>
      <w:sz w:val="24"/>
    </w:rPr>
  </w:style>
  <w:style w:type="paragraph" w:customStyle="1" w:styleId="186">
    <w:name w:val="Normal_7"/>
    <w:qFormat/>
    <w:uiPriority w:val="0"/>
    <w:pPr>
      <w:spacing w:before="120" w:after="240"/>
      <w:jc w:val="both"/>
    </w:pPr>
    <w:rPr>
      <w:rFonts w:ascii="Calibri" w:hAnsi="Calibri" w:eastAsia="Calibri" w:cs="Times New Roman"/>
      <w:sz w:val="22"/>
      <w:szCs w:val="22"/>
      <w:lang w:val="en-US" w:eastAsia="en-US" w:bidi="ar-SA"/>
    </w:rPr>
  </w:style>
  <w:style w:type="character" w:customStyle="1" w:styleId="187">
    <w:name w:val="font11"/>
    <w:basedOn w:val="37"/>
    <w:qFormat/>
    <w:uiPriority w:val="0"/>
    <w:rPr>
      <w:rFonts w:hint="default" w:ascii="Times New Roman" w:hAnsi="Times New Roman" w:cs="Times New Roman"/>
      <w:color w:val="000000"/>
      <w:sz w:val="20"/>
      <w:szCs w:val="20"/>
      <w:u w:val="none"/>
    </w:rPr>
  </w:style>
  <w:style w:type="paragraph" w:customStyle="1" w:styleId="188">
    <w:name w:val="标题 #1"/>
    <w:basedOn w:val="1"/>
    <w:qFormat/>
    <w:uiPriority w:val="0"/>
    <w:pPr>
      <w:shd w:val="clear" w:color="auto" w:fill="FFFFFF"/>
      <w:spacing w:after="930"/>
      <w:outlineLvl w:val="0"/>
    </w:pPr>
    <w:rPr>
      <w:rFonts w:ascii="MingLiU" w:hAnsi="MingLiU" w:eastAsia="MingLiU" w:cs="MingLiU"/>
      <w:color w:val="auto"/>
      <w:kern w:val="2"/>
      <w:sz w:val="68"/>
      <w:szCs w:val="68"/>
      <w:lang w:val="zh-CN" w:eastAsia="zh-CN" w:bidi="zh-CN"/>
    </w:rPr>
  </w:style>
  <w:style w:type="paragraph" w:customStyle="1" w:styleId="189">
    <w:name w:val="标题 #2"/>
    <w:basedOn w:val="1"/>
    <w:qFormat/>
    <w:uiPriority w:val="0"/>
    <w:pPr>
      <w:shd w:val="clear" w:color="auto" w:fill="FFFFFF"/>
      <w:spacing w:after="420"/>
      <w:outlineLvl w:val="1"/>
    </w:pPr>
    <w:rPr>
      <w:rFonts w:ascii="MingLiU" w:hAnsi="MingLiU" w:eastAsia="MingLiU" w:cs="MingLiU"/>
      <w:color w:val="auto"/>
      <w:kern w:val="2"/>
      <w:sz w:val="44"/>
      <w:szCs w:val="44"/>
      <w:lang w:val="zh-CN" w:eastAsia="zh-CN" w:bidi="zh-CN"/>
    </w:rPr>
  </w:style>
  <w:style w:type="paragraph" w:customStyle="1" w:styleId="190">
    <w:name w:val="正文文本1"/>
    <w:basedOn w:val="1"/>
    <w:qFormat/>
    <w:uiPriority w:val="0"/>
    <w:pPr>
      <w:shd w:val="clear" w:color="auto" w:fill="FFFFFF"/>
      <w:spacing w:line="444" w:lineRule="auto"/>
      <w:ind w:firstLine="400"/>
    </w:pPr>
    <w:rPr>
      <w:rFonts w:ascii="MingLiU" w:hAnsi="MingLiU" w:eastAsia="MingLiU" w:cs="MingLiU"/>
      <w:color w:val="auto"/>
      <w:kern w:val="2"/>
      <w:sz w:val="34"/>
      <w:szCs w:val="34"/>
      <w:lang w:val="zh-CN" w:eastAsia="zh-CN" w:bidi="zh-CN"/>
    </w:rPr>
  </w:style>
  <w:style w:type="paragraph" w:customStyle="1" w:styleId="191">
    <w:name w:val="Normal_10"/>
    <w:qFormat/>
    <w:uiPriority w:val="0"/>
    <w:pPr>
      <w:spacing w:before="120" w:after="240"/>
      <w:jc w:val="both"/>
    </w:pPr>
    <w:rPr>
      <w:rFonts w:ascii="Calibri" w:hAnsi="Calibri" w:eastAsia="Calibri" w:cs="Times New Roman"/>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emf"/><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AF8EAA-7D2A-4332-8C98-EACB115273B4}">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127</Pages>
  <Words>56098</Words>
  <Characters>60613</Characters>
  <Lines>36</Lines>
  <Paragraphs>10</Paragraphs>
  <TotalTime>30</TotalTime>
  <ScaleCrop>false</ScaleCrop>
  <LinksUpToDate>false</LinksUpToDate>
  <CharactersWithSpaces>61953</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2020-04-21T06:35:00Z</dcterms:created>
  <dc:creator>Viken14</dc:creator>
  <cp:lastModifiedBy>Administrator</cp:lastModifiedBy>
  <cp:lastPrinted>2020-04-02T11:24:00Z</cp:lastPrinted>
  <dcterms:modified xsi:type="dcterms:W3CDTF">2023-05-30T01:57:31Z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83631CEC96B7453AA86F9F7DCB3745B6</vt:lpwstr>
  </property>
</Properties>
</file>