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0" w:lineRule="exact"/>
        <w:ind w:left="-199" w:leftChars="-95" w:right="-92" w:rightChars="-44" w:firstLine="199" w:firstLineChars="45"/>
        <w:jc w:val="center"/>
        <w:rPr>
          <w:rFonts w:ascii="方正小标宋简体" w:hAnsi="方正小标宋简体" w:eastAsia="方正小标宋简体" w:cs="Times New Roman"/>
          <w:b/>
          <w:color w:val="FF0000"/>
          <w:kern w:val="0"/>
          <w:sz w:val="48"/>
          <w:szCs w:val="48"/>
        </w:rPr>
      </w:pPr>
      <w:r>
        <w:rPr>
          <w:rFonts w:ascii="方正小标宋简体" w:hAnsi="方正小标宋简体" w:eastAsia="方正小标宋简体" w:cs="Times New Roman"/>
          <w:b/>
          <w:color w:val="FF0000"/>
          <w:kern w:val="0"/>
          <w:sz w:val="44"/>
          <w:szCs w:val="44"/>
        </w:rPr>
        <w:t>和平县</w:t>
      </w:r>
      <w:r>
        <w:rPr>
          <w:rFonts w:hint="eastAsia" w:ascii="方正小标宋简体" w:hAnsi="方正小标宋简体" w:eastAsia="方正小标宋简体" w:cs="Times New Roman"/>
          <w:b/>
          <w:color w:val="FF0000"/>
          <w:kern w:val="0"/>
          <w:sz w:val="44"/>
          <w:szCs w:val="44"/>
          <w:lang w:val="en-US" w:eastAsia="zh-CN"/>
        </w:rPr>
        <w:t>国家级</w:t>
      </w:r>
      <w:r>
        <w:rPr>
          <w:rFonts w:ascii="方正小标宋简体" w:hAnsi="方正小标宋简体" w:eastAsia="方正小标宋简体" w:cs="Times New Roman"/>
          <w:b/>
          <w:color w:val="FF0000"/>
          <w:kern w:val="0"/>
          <w:sz w:val="44"/>
          <w:szCs w:val="44"/>
        </w:rPr>
        <w:t>电子商务进农村综合示范</w:t>
      </w:r>
      <w:r>
        <w:rPr>
          <w:rFonts w:hint="eastAsia" w:ascii="方正小标宋简体" w:hAnsi="方正小标宋简体" w:eastAsia="方正小标宋简体" w:cs="Times New Roman"/>
          <w:b/>
          <w:color w:val="FF0000"/>
          <w:kern w:val="0"/>
          <w:sz w:val="44"/>
          <w:szCs w:val="44"/>
          <w:lang w:val="en-US" w:eastAsia="zh-CN"/>
        </w:rPr>
        <w:t>工</w:t>
      </w:r>
      <w:r>
        <w:rPr>
          <w:rFonts w:ascii="方正小标宋简体" w:hAnsi="方正小标宋简体" w:eastAsia="方正小标宋简体" w:cs="Times New Roman"/>
          <w:b/>
          <w:color w:val="FF0000"/>
          <w:kern w:val="0"/>
          <w:sz w:val="44"/>
          <w:szCs w:val="44"/>
        </w:rPr>
        <w:t>作</w:t>
      </w:r>
    </w:p>
    <w:p>
      <w:pPr>
        <w:widowControl/>
        <w:spacing w:line="1200" w:lineRule="exact"/>
        <w:ind w:left="-199" w:leftChars="-95" w:right="-313" w:rightChars="-149" w:firstLine="379" w:firstLineChars="45"/>
        <w:jc w:val="center"/>
        <w:rPr>
          <w:rFonts w:ascii="方正小标宋简体" w:hAnsi="方正小标宋简体" w:eastAsia="方正小标宋简体" w:cs="Times New Roman"/>
          <w:b/>
          <w:color w:val="FF0000"/>
          <w:kern w:val="0"/>
          <w:sz w:val="84"/>
          <w:szCs w:val="84"/>
        </w:rPr>
      </w:pPr>
      <w:r>
        <w:rPr>
          <w:rFonts w:ascii="方正小标宋简体" w:hAnsi="方正小标宋简体" w:eastAsia="方正小标宋简体" w:cs="Times New Roman"/>
          <w:b/>
          <w:color w:val="FF0000"/>
          <w:kern w:val="0"/>
          <w:sz w:val="84"/>
          <w:szCs w:val="84"/>
        </w:rPr>
        <w:t>简  报</w:t>
      </w:r>
    </w:p>
    <w:p>
      <w:pPr>
        <w:widowControl/>
        <w:tabs>
          <w:tab w:val="left" w:pos="1800"/>
        </w:tabs>
        <w:spacing w:line="560" w:lineRule="exact"/>
        <w:ind w:left="-199" w:leftChars="-95" w:right="-313" w:rightChars="-149" w:firstLine="45" w:firstLineChars="45"/>
        <w:jc w:val="center"/>
        <w:rPr>
          <w:rFonts w:ascii="仿宋_GB2312" w:hAnsi="仿宋_GB2312" w:eastAsia="仿宋_GB2312" w:cs="Times New Roman"/>
          <w:b/>
          <w:kern w:val="0"/>
          <w:sz w:val="10"/>
          <w:szCs w:val="10"/>
        </w:rPr>
      </w:pPr>
    </w:p>
    <w:p>
      <w:pPr>
        <w:widowControl/>
        <w:spacing w:line="560" w:lineRule="exact"/>
        <w:ind w:left="-199" w:leftChars="-95" w:right="-313" w:rightChars="-149" w:firstLine="199" w:firstLineChars="45"/>
        <w:jc w:val="center"/>
        <w:rPr>
          <w:rFonts w:ascii="仿宋_GB2312" w:hAnsi="仿宋_GB2312" w:eastAsia="仿宋_GB2312" w:cs="Times New Roman"/>
          <w:b/>
          <w:kern w:val="0"/>
          <w:sz w:val="44"/>
          <w:szCs w:val="44"/>
        </w:rPr>
      </w:pPr>
      <w:r>
        <w:rPr>
          <w:rFonts w:ascii="仿宋_GB2312" w:hAnsi="仿宋_GB2312" w:eastAsia="仿宋_GB2312" w:cs="Times New Roman"/>
          <w:b/>
          <w:kern w:val="0"/>
          <w:sz w:val="44"/>
          <w:szCs w:val="44"/>
        </w:rPr>
        <w:t>（第</w:t>
      </w:r>
      <w:r>
        <w:rPr>
          <w:rFonts w:hint="eastAsia" w:ascii="仿宋_GB2312" w:hAnsi="仿宋_GB2312" w:eastAsia="仿宋_GB2312" w:cs="Times New Roman"/>
          <w:b/>
          <w:kern w:val="0"/>
          <w:sz w:val="44"/>
          <w:szCs w:val="44"/>
          <w:lang w:val="en-US" w:eastAsia="zh-CN"/>
        </w:rPr>
        <w:t>3</w:t>
      </w:r>
      <w:r>
        <w:rPr>
          <w:rFonts w:ascii="仿宋_GB2312" w:hAnsi="仿宋_GB2312" w:eastAsia="仿宋_GB2312" w:cs="Times New Roman"/>
          <w:b/>
          <w:kern w:val="0"/>
          <w:sz w:val="44"/>
          <w:szCs w:val="44"/>
        </w:rPr>
        <w:t>期）</w:t>
      </w:r>
    </w:p>
    <w:p>
      <w:pPr>
        <w:widowControl/>
        <w:spacing w:line="560" w:lineRule="exact"/>
        <w:ind w:left="-199" w:leftChars="-95" w:right="-313" w:rightChars="-149" w:firstLine="144" w:firstLineChars="45"/>
        <w:jc w:val="center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512" w:rightChars="-244" w:firstLine="0" w:firstLineChars="0"/>
        <w:textAlignment w:val="auto"/>
        <w:rPr>
          <w:rFonts w:ascii="方正小标宋简体" w:hAnsi="方正小标宋简体" w:eastAsia="方正小标宋简体" w:cs="Times New Roman"/>
          <w:kern w:val="0"/>
          <w:sz w:val="40"/>
          <w:szCs w:val="40"/>
        </w:rPr>
      </w:pPr>
      <w:r>
        <w:rPr>
          <w:rFonts w:ascii="Calibri" w:hAnsi="Calibri" w:eastAsia="宋体" w:cs="Times New Roman"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-12700</wp:posOffset>
                </wp:positionH>
                <wp:positionV relativeFrom="paragraph">
                  <wp:posOffset>381000</wp:posOffset>
                </wp:positionV>
                <wp:extent cx="5551170" cy="0"/>
                <wp:effectExtent l="0" t="19050" r="11430" b="1905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7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pt;margin-top:30pt;height:0pt;width:437.1pt;z-index:251659264;mso-width-relative:page;mso-height-relative:page;" filled="f" stroked="t" coordsize="21600,21600" o:allowoverlap="f" o:gfxdata="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600rHXAAAACAEAAA8AAAAAAAAAAQAgAAAAIgAAAGRycy9k&#10;b3ducmV2LnhtbFBLAQIUABQAAAAIAIdO4kDezWI5AwIAAP4DAAAOAAAAAAAAAAEAIAAAACYBAABk&#10;cnMvZTJvRG9jLnhtbFBLBQYAAAAABgAGAFkBAACb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_GB2312" w:eastAsia="仿宋_GB2312" w:cs="Times New Roman"/>
          <w:kern w:val="0"/>
          <w:sz w:val="28"/>
          <w:szCs w:val="28"/>
        </w:rPr>
        <w:t>和平县</w:t>
      </w:r>
      <w:r>
        <w:rPr>
          <w:rFonts w:hint="eastAsia" w:ascii="仿宋_GB2312" w:hAnsi="仿宋_GB2312" w:eastAsia="仿宋_GB2312" w:cs="Times New Roman"/>
          <w:kern w:val="0"/>
          <w:sz w:val="28"/>
          <w:szCs w:val="28"/>
          <w:lang w:val="en-US" w:eastAsia="zh-CN"/>
        </w:rPr>
        <w:t>国家级</w:t>
      </w:r>
      <w:r>
        <w:rPr>
          <w:rFonts w:ascii="仿宋_GB2312" w:hAnsi="仿宋_GB2312" w:eastAsia="仿宋_GB2312" w:cs="Times New Roman"/>
          <w:kern w:val="0"/>
          <w:sz w:val="28"/>
          <w:szCs w:val="28"/>
        </w:rPr>
        <w:t xml:space="preserve">电子商务进农村工作领导小组办公室 </w:t>
      </w:r>
      <w:r>
        <w:rPr>
          <w:rFonts w:hint="eastAsia" w:ascii="仿宋_GB2312" w:hAnsi="仿宋_GB2312" w:eastAsia="仿宋_GB2312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Times New Roman"/>
          <w:kern w:val="0"/>
          <w:sz w:val="28"/>
          <w:szCs w:val="28"/>
        </w:rPr>
        <w:t>20</w:t>
      </w:r>
      <w:r>
        <w:rPr>
          <w:rFonts w:hint="eastAsia" w:ascii="仿宋_GB2312" w:hAnsi="仿宋_GB2312" w:eastAsia="仿宋_GB2312" w:cs="Times New Roman"/>
          <w:kern w:val="0"/>
          <w:sz w:val="28"/>
          <w:szCs w:val="28"/>
          <w:lang w:val="en-US" w:eastAsia="zh-CN"/>
        </w:rPr>
        <w:t>23</w:t>
      </w:r>
      <w:r>
        <w:rPr>
          <w:rFonts w:ascii="仿宋_GB2312" w:hAnsi="仿宋_GB2312" w:eastAsia="仿宋_GB2312" w:cs="Times New Roman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Times New Roman"/>
          <w:kern w:val="0"/>
          <w:sz w:val="28"/>
          <w:szCs w:val="28"/>
          <w:lang w:val="en-US" w:eastAsia="zh-CN"/>
        </w:rPr>
        <w:t>7</w:t>
      </w:r>
      <w:r>
        <w:rPr>
          <w:rFonts w:ascii="仿宋_GB2312" w:hAnsi="仿宋_GB2312" w:eastAsia="仿宋_GB2312" w:cs="Times New Roman"/>
          <w:kern w:val="0"/>
          <w:sz w:val="28"/>
          <w:szCs w:val="28"/>
        </w:rPr>
        <w:t>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  <w:lang w:val="en-US" w:eastAsia="zh-CN"/>
        </w:rPr>
        <w:t>县工商信局主持召开电子商务工作协调会议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1536065</wp:posOffset>
            </wp:positionV>
            <wp:extent cx="5266690" cy="3827145"/>
            <wp:effectExtent l="0" t="0" r="10160" b="1905"/>
            <wp:wrapTopAndBottom/>
            <wp:docPr id="2" name="图片 2" descr="d73329b0eebf01f1e2fe688d5105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3329b0eebf01f1e2fe688d51055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为持续推进我县电子商务工作的实施，3月6日上午，县工商信局在会议室召开电子商务工作协调会议。会议由局长陈德才主持，工商信局及科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创中心相关部门以及电商运营企业负责人等部门参加会议。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会上，各企业负责人逐一汇报运营工作进展情况，提出完善沟通机制、电商可持续发展等方面的问题，各方进行深入探讨。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215265</wp:posOffset>
            </wp:positionV>
            <wp:extent cx="5266690" cy="3693795"/>
            <wp:effectExtent l="0" t="0" r="10160" b="1905"/>
            <wp:wrapTopAndBottom/>
            <wp:docPr id="3" name="图片 3" descr="c4201250f37505e139535e7c58b2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4201250f37505e139535e7c58b23f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Times New Roman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陈德才认真听取了企业所提意见建议，提出：一、梳理好前期电商运营存在问题，定好整改时间节点，统筹协调解决；二、加强各运营企业之间的协调合作，资源互补，形成合力，发挥效益最大化；三、要加强学习，创新运营新思路、新方式，推动我县电子商务行业的高质量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NzFkOGNjY2Q0M2ViOWVhZGIwNTJiMjYzNWIwZjcifQ=="/>
  </w:docVars>
  <w:rsids>
    <w:rsidRoot w:val="3E933E6D"/>
    <w:rsid w:val="0E3F5536"/>
    <w:rsid w:val="13E91E4B"/>
    <w:rsid w:val="17D5632C"/>
    <w:rsid w:val="35D920B2"/>
    <w:rsid w:val="43A17B0B"/>
    <w:rsid w:val="50EB5169"/>
    <w:rsid w:val="5D844876"/>
    <w:rsid w:val="66A12736"/>
    <w:rsid w:val="73982FB5"/>
    <w:rsid w:val="7E45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334</Characters>
  <Lines>0</Lines>
  <Paragraphs>0</Paragraphs>
  <TotalTime>312</TotalTime>
  <ScaleCrop>false</ScaleCrop>
  <LinksUpToDate>false</LinksUpToDate>
  <CharactersWithSpaces>338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2023-03-07T02:46:00Z</dcterms:created>
  <dc:creator>jxz02</dc:creator>
  <cp:lastModifiedBy>曹聰</cp:lastModifiedBy>
  <cp:lastPrinted>2023-03-24T01:52:00Z</cp:lastPrinted>
  <dcterms:modified xsi:type="dcterms:W3CDTF">2023-03-27T08:32:44Z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9749202E983B4FFF8BED6F6EEDC7E4AE</vt:lpwstr>
  </property>
</Properties>
</file>