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jc w:val="center"/>
        <w:rPr>
          <w:rFonts w:ascii="方正小标宋简体" w:hAnsi="方正小标宋简体" w:eastAsia="方正小标宋简体"/>
          <w:b/>
          <w:color w:val="FF0000"/>
          <w:sz w:val="48"/>
          <w:szCs w:val="48"/>
        </w:rPr>
      </w:pPr>
      <w:r>
        <w:rPr>
          <w:rFonts w:ascii="方正小标宋简体" w:hAnsi="方正小标宋简体" w:eastAsia="方正小标宋简体"/>
          <w:b/>
          <w:color w:val="FF0000"/>
          <w:sz w:val="44"/>
          <w:szCs w:val="44"/>
        </w:rPr>
        <w:t>和平县</w:t>
      </w:r>
      <w:r>
        <w:rPr>
          <w:rFonts w:hint="eastAsia" w:ascii="方正小标宋简体" w:hAnsi="方正小标宋简体" w:eastAsia="方正小标宋简体"/>
          <w:b/>
          <w:color w:val="FF0000"/>
          <w:sz w:val="44"/>
          <w:szCs w:val="44"/>
          <w:lang w:val="en-US" w:eastAsia="zh-CN"/>
        </w:rPr>
        <w:t>国家级</w:t>
      </w:r>
      <w:r>
        <w:rPr>
          <w:rFonts w:ascii="方正小标宋简体" w:hAnsi="方正小标宋简体" w:eastAsia="方正小标宋简体"/>
          <w:b/>
          <w:color w:val="FF0000"/>
          <w:sz w:val="44"/>
          <w:szCs w:val="44"/>
        </w:rPr>
        <w:t>电子商务进农村综合示范工作</w:t>
      </w:r>
    </w:p>
    <w:p>
      <w:pPr>
        <w:spacing w:line="1200" w:lineRule="exact"/>
        <w:jc w:val="center"/>
        <w:rPr>
          <w:rFonts w:ascii="方正小标宋简体" w:hAnsi="方正小标宋简体" w:eastAsia="方正小标宋简体"/>
          <w:b/>
          <w:color w:val="FF0000"/>
          <w:sz w:val="84"/>
          <w:szCs w:val="84"/>
        </w:rPr>
      </w:pPr>
      <w:r>
        <w:rPr>
          <w:rFonts w:ascii="方正小标宋简体" w:hAnsi="方正小标宋简体" w:eastAsia="方正小标宋简体"/>
          <w:b/>
          <w:color w:val="FF0000"/>
          <w:sz w:val="84"/>
          <w:szCs w:val="84"/>
        </w:rPr>
        <w:t>简  报</w:t>
      </w:r>
    </w:p>
    <w:p>
      <w:pPr>
        <w:tabs>
          <w:tab w:val="left" w:pos="1800"/>
        </w:tabs>
        <w:spacing w:line="560" w:lineRule="exact"/>
        <w:jc w:val="center"/>
        <w:rPr>
          <w:rFonts w:ascii="仿宋_GB2312" w:hAnsi="仿宋_GB2312" w:eastAsia="仿宋_GB2312"/>
          <w:b/>
          <w:sz w:val="10"/>
          <w:szCs w:val="10"/>
        </w:rPr>
      </w:pPr>
    </w:p>
    <w:p>
      <w:pPr>
        <w:spacing w:line="560" w:lineRule="exact"/>
        <w:jc w:val="center"/>
        <w:rPr>
          <w:rFonts w:ascii="仿宋_GB2312" w:hAnsi="仿宋_GB2312" w:eastAsia="仿宋_GB2312"/>
          <w:b/>
          <w:sz w:val="44"/>
          <w:szCs w:val="44"/>
        </w:rPr>
      </w:pPr>
      <w:r>
        <w:rPr>
          <w:rFonts w:ascii="仿宋_GB2312" w:hAnsi="仿宋_GB2312" w:eastAsia="仿宋_GB2312"/>
          <w:b/>
          <w:sz w:val="44"/>
          <w:szCs w:val="44"/>
        </w:rPr>
        <w:t>（第</w:t>
      </w:r>
      <w:r>
        <w:rPr>
          <w:rFonts w:hint="eastAsia" w:ascii="仿宋_GB2312" w:hAnsi="仿宋_GB2312" w:eastAsia="仿宋_GB2312"/>
          <w:b/>
          <w:sz w:val="44"/>
          <w:szCs w:val="44"/>
          <w:lang w:val="en-US" w:eastAsia="zh-CN"/>
        </w:rPr>
        <w:t>57</w:t>
      </w:r>
      <w:r>
        <w:rPr>
          <w:rFonts w:ascii="仿宋_GB2312" w:hAnsi="仿宋_GB2312" w:eastAsia="仿宋_GB2312"/>
          <w:b/>
          <w:sz w:val="44"/>
          <w:szCs w:val="44"/>
        </w:rPr>
        <w:t>期）</w:t>
      </w:r>
    </w:p>
    <w:p>
      <w:pPr>
        <w:spacing w:line="560" w:lineRule="exact"/>
        <w:jc w:val="center"/>
        <w:rPr>
          <w:rFonts w:ascii="仿宋_GB2312" w:hAnsi="仿宋_GB2312" w:eastAsia="仿宋_GB2312"/>
          <w:sz w:val="32"/>
          <w:szCs w:val="32"/>
        </w:rPr>
      </w:pPr>
    </w:p>
    <w:p>
      <w:pPr>
        <w:spacing w:line="560" w:lineRule="exact"/>
        <w:rPr>
          <w:rFonts w:ascii="方正小标宋简体" w:hAnsi="方正小标宋简体" w:eastAsia="方正小标宋简体"/>
          <w:sz w:val="40"/>
          <w:szCs w:val="40"/>
        </w:rPr>
      </w:pPr>
      <w:r>
        <w:rPr>
          <w:sz w:val="18"/>
          <w:szCs w:val="20"/>
        </w:rPr>
        <mc:AlternateContent>
          <mc:Choice Requires="wps">
            <w:drawing>
              <wp:anchor distT="0" distB="0" distL="114300" distR="114300" simplePos="0" relativeHeight="251660288" behindDoc="0" locked="0" layoutInCell="1" allowOverlap="0">
                <wp:simplePos x="0" y="0"/>
                <wp:positionH relativeFrom="column">
                  <wp:posOffset>-12700</wp:posOffset>
                </wp:positionH>
                <wp:positionV relativeFrom="paragraph">
                  <wp:posOffset>381000</wp:posOffset>
                </wp:positionV>
                <wp:extent cx="5551170" cy="0"/>
                <wp:effectExtent l="0" t="19050" r="11430" b="19050"/>
                <wp:wrapNone/>
                <wp:docPr id="1" name="自选图形 2"/>
                <wp:cNvGraphicFramePr/>
                <a:graphic xmlns:a="http://schemas.openxmlformats.org/drawingml/2006/main">
                  <a:graphicData uri="http://schemas.microsoft.com/office/word/2010/wordprocessingShape">
                    <wps:wsp>
                      <wps:cNvCnPr/>
                      <wps:spPr>
                        <a:xfrm>
                          <a:off x="0" y="0"/>
                          <a:ext cx="5551170" cy="0"/>
                        </a:xfrm>
                        <a:prstGeom prst="straightConnector1">
                          <a:avLst/>
                        </a:prstGeom>
                        <a:ln w="38100" cap="flat" cmpd="sng">
                          <a:solidFill>
                            <a:srgbClr val="FF0000"/>
                          </a:solidFill>
                          <a:prstDash val="solid"/>
                          <a:headEnd type="none" w="med" len="med"/>
                          <a:tailEnd type="none" w="med" len="med"/>
                        </a:ln>
                        <a:effectLst/>
                      </wps:spPr>
                      <wps:bodyPr upright="1"/>
                    </wps:wsp>
                  </a:graphicData>
                </a:graphic>
              </wp:anchor>
            </w:drawing>
          </mc:Choice>
          <mc:Fallback>
            <w:pict>
              <v:shape id="自选图形 2" o:spid="_x0000_s1026" o:spt="32" type="#_x0000_t32" style="position:absolute;left:0pt;margin-left:-1pt;margin-top:30pt;height:0pt;width:437.1pt;z-index:251660288;mso-width-relative:page;mso-height-relative:page;" filled="f" stroked="t" coordsize="21600,21600" o:allowoverlap="f" o:gfxdata="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600rHXAAAACAEAAA8AAAAAAAAAAQAgAAAAIgAAAGRycy9k&#10;b3ducmV2LnhtbFBLAQIUABQAAAAIAIdO4kDezWI5AwIAAP4DAAAOAAAAAAAAAAEAIAAAACYBAABk&#10;cnMvZTJvRG9jLnhtbFBLBQYAAAAABgAGAFkBAACbBQAAAAA=&#10;">
                <v:fill on="f" focussize="0,0"/>
                <v:stroke weight="3pt" color="#FF0000" joinstyle="round"/>
                <v:imagedata o:title=""/>
                <o:lock v:ext="edit" aspectratio="f"/>
              </v:shape>
            </w:pict>
          </mc:Fallback>
        </mc:AlternateContent>
      </w:r>
      <w:r>
        <w:rPr>
          <w:rFonts w:ascii="仿宋_GB2312" w:hAnsi="仿宋_GB2312" w:eastAsia="仿宋_GB2312"/>
          <w:sz w:val="28"/>
          <w:szCs w:val="28"/>
        </w:rPr>
        <w:t>和平县</w:t>
      </w:r>
      <w:r>
        <w:rPr>
          <w:rFonts w:hint="eastAsia" w:ascii="仿宋_GB2312" w:hAnsi="仿宋_GB2312" w:eastAsia="仿宋_GB2312"/>
          <w:sz w:val="28"/>
          <w:szCs w:val="28"/>
          <w:lang w:val="en-US" w:eastAsia="zh-CN"/>
        </w:rPr>
        <w:t>国家级</w:t>
      </w:r>
      <w:r>
        <w:rPr>
          <w:rFonts w:ascii="仿宋_GB2312" w:hAnsi="仿宋_GB2312" w:eastAsia="仿宋_GB2312"/>
          <w:sz w:val="28"/>
          <w:szCs w:val="28"/>
        </w:rPr>
        <w:t xml:space="preserve">电子商务进农村工作领导小组办公室 </w:t>
      </w:r>
      <w:r>
        <w:rPr>
          <w:rFonts w:hint="eastAsia" w:ascii="仿宋_GB2312" w:hAnsi="仿宋_GB2312" w:eastAsia="仿宋_GB2312"/>
          <w:sz w:val="28"/>
          <w:szCs w:val="28"/>
          <w:lang w:val="en-US" w:eastAsia="zh-CN"/>
        </w:rPr>
        <w:t xml:space="preserve">  </w:t>
      </w:r>
      <w:r>
        <w:rPr>
          <w:rFonts w:ascii="仿宋_GB2312" w:hAnsi="仿宋_GB2312" w:eastAsia="仿宋_GB2312"/>
          <w:sz w:val="28"/>
          <w:szCs w:val="28"/>
        </w:rPr>
        <w:t>20</w:t>
      </w:r>
      <w:r>
        <w:rPr>
          <w:rFonts w:hint="eastAsia" w:ascii="仿宋_GB2312" w:hAnsi="仿宋_GB2312" w:eastAsia="仿宋_GB2312"/>
          <w:sz w:val="28"/>
          <w:szCs w:val="28"/>
          <w:lang w:val="en-US" w:eastAsia="zh-CN"/>
        </w:rPr>
        <w:t>22</w:t>
      </w:r>
      <w:r>
        <w:rPr>
          <w:rFonts w:ascii="仿宋_GB2312" w:hAnsi="仿宋_GB2312" w:eastAsia="仿宋_GB2312"/>
          <w:sz w:val="28"/>
          <w:szCs w:val="28"/>
        </w:rPr>
        <w:t>年</w:t>
      </w:r>
      <w:r>
        <w:rPr>
          <w:rFonts w:hint="eastAsia" w:ascii="仿宋_GB2312" w:hAnsi="仿宋_GB2312" w:eastAsia="仿宋_GB2312"/>
          <w:sz w:val="28"/>
          <w:szCs w:val="28"/>
          <w:lang w:val="en-US" w:eastAsia="zh-CN"/>
        </w:rPr>
        <w:t>12</w:t>
      </w:r>
      <w:r>
        <w:rPr>
          <w:rFonts w:hint="eastAsia" w:ascii="仿宋_GB2312" w:hAnsi="仿宋_GB2312" w:eastAsia="仿宋_GB2312"/>
          <w:sz w:val="28"/>
          <w:szCs w:val="28"/>
        </w:rPr>
        <w:t>月</w:t>
      </w:r>
      <w:r>
        <w:rPr>
          <w:rFonts w:hint="eastAsia" w:ascii="仿宋_GB2312" w:hAnsi="仿宋_GB2312" w:eastAsia="仿宋_GB2312"/>
          <w:sz w:val="28"/>
          <w:szCs w:val="28"/>
          <w:lang w:val="en-US" w:eastAsia="zh-CN"/>
        </w:rPr>
        <w:t>5</w:t>
      </w:r>
      <w:r>
        <w:rPr>
          <w:rFonts w:ascii="仿宋_GB2312" w:hAnsi="仿宋_GB2312" w:eastAsia="仿宋_GB2312"/>
          <w:sz w:val="28"/>
          <w:szCs w:val="28"/>
        </w:rPr>
        <w:t>日</w:t>
      </w:r>
    </w:p>
    <w:p>
      <w:pPr>
        <w:widowControl/>
        <w:spacing w:line="560" w:lineRule="exact"/>
        <w:ind w:right="-313" w:rightChars="-149"/>
        <w:jc w:val="both"/>
        <w:rPr>
          <w:rFonts w:hint="eastAsia" w:ascii="方正小标宋简体" w:hAnsi="方正小标宋简体" w:eastAsia="方正小标宋简体" w:cs="方正小标宋简体"/>
          <w:b/>
          <w:bCs/>
          <w:sz w:val="44"/>
          <w:szCs w:val="44"/>
          <w:lang w:val="en-US" w:eastAsia="zh-CN"/>
        </w:rPr>
      </w:pPr>
    </w:p>
    <w:p>
      <w:pPr>
        <w:widowControl/>
        <w:spacing w:line="560" w:lineRule="exact"/>
        <w:ind w:left="-199" w:leftChars="-95" w:right="-313" w:rightChars="-149" w:firstLine="199" w:firstLineChars="45"/>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县工商信局协同相关部门开展2022年</w:t>
      </w:r>
    </w:p>
    <w:p>
      <w:pPr>
        <w:widowControl/>
        <w:spacing w:line="560" w:lineRule="exact"/>
        <w:ind w:left="-199" w:leftChars="-95" w:right="-313" w:rightChars="-149" w:firstLine="199" w:firstLineChars="45"/>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和平县电子商务行业领域涉非涉稳风险</w:t>
      </w:r>
    </w:p>
    <w:p>
      <w:pPr>
        <w:widowControl/>
        <w:spacing w:line="560" w:lineRule="exact"/>
        <w:ind w:left="-199" w:leftChars="-95" w:right="-313" w:rightChars="-149" w:firstLine="199" w:firstLineChars="45"/>
        <w:jc w:val="center"/>
        <w:rPr>
          <w:rFonts w:hint="eastAsia" w:ascii="方正小标宋简体" w:hAnsi="方正小标宋简体" w:eastAsia="方正小标宋简体" w:cs="方正小标宋简体"/>
          <w:spacing w:val="45"/>
          <w:kern w:val="0"/>
          <w:position w:val="0"/>
          <w:sz w:val="44"/>
          <w:szCs w:val="44"/>
          <w:lang w:val="en-US" w:eastAsia="zh-CN"/>
        </w:rPr>
      </w:pPr>
      <w:r>
        <w:rPr>
          <w:rFonts w:hint="eastAsia" w:ascii="方正小标宋简体" w:hAnsi="方正小标宋简体" w:eastAsia="方正小标宋简体" w:cs="方正小标宋简体"/>
          <w:b/>
          <w:bCs/>
          <w:sz w:val="44"/>
          <w:szCs w:val="44"/>
          <w:lang w:val="en-US" w:eastAsia="zh-CN"/>
        </w:rPr>
        <w:t>专项排查整治工作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县处置非法集资领导办公室关于涉非涉稳风险专项排查整治工作的部署要求，我局高度重视，牵头协同县委网信办、县市场监督管理局、县金融工作局、县科技创新服务中心等部门于2022年11月在全县范围内组织开展电子商务行业领域涉非涉稳风险专项排查整治活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各相关部门通过网络监测、电话调查、实地走访等方式筛查辖内电子商务行业领域涉非涉稳线索。</w:t>
      </w:r>
      <w:r>
        <w:rPr>
          <w:rFonts w:hint="eastAsia" w:ascii="仿宋_GB2312" w:hAnsi="仿宋_GB2312" w:eastAsia="仿宋_GB2312" w:cs="仿宋_GB2312"/>
          <w:sz w:val="32"/>
          <w:szCs w:val="32"/>
        </w:rPr>
        <w:t>以传统媒体和互联网PC端网站网页、移动端APP、公众号等媒介为重点，</w:t>
      </w:r>
      <w:r>
        <w:rPr>
          <w:rFonts w:hint="eastAsia" w:ascii="仿宋_GB2312" w:hAnsi="仿宋_GB2312" w:eastAsia="仿宋_GB2312" w:cs="仿宋_GB2312"/>
          <w:sz w:val="32"/>
          <w:szCs w:val="32"/>
          <w:lang w:val="en-US" w:eastAsia="zh-CN"/>
        </w:rPr>
        <w:t>排查电商企业和个体户共277家、网站116个、微信公众号14个，电话调查电商企业30家，实地走访电商企业9家。</w:t>
      </w:r>
      <w:r>
        <w:rPr>
          <w:rFonts w:hint="eastAsia" w:ascii="仿宋_GB2312" w:hAnsi="仿宋_GB2312" w:eastAsia="仿宋_GB2312" w:cs="仿宋_GB2312"/>
          <w:sz w:val="32"/>
          <w:szCs w:val="32"/>
        </w:rPr>
        <w:t>截</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目前，暂未发现</w:t>
      </w:r>
      <w:r>
        <w:rPr>
          <w:rFonts w:hint="eastAsia" w:ascii="仿宋_GB2312" w:hAnsi="仿宋_GB2312" w:eastAsia="仿宋_GB2312" w:cs="仿宋_GB2312"/>
          <w:sz w:val="32"/>
          <w:szCs w:val="32"/>
          <w:lang w:val="en-US" w:eastAsia="zh-CN"/>
        </w:rPr>
        <w:t>我县</w:t>
      </w:r>
      <w:r>
        <w:rPr>
          <w:rFonts w:hint="eastAsia" w:ascii="仿宋_GB2312" w:hAnsi="仿宋_GB2312" w:eastAsia="仿宋_GB2312" w:cs="仿宋_GB2312"/>
          <w:sz w:val="32"/>
          <w:szCs w:val="32"/>
        </w:rPr>
        <w:t>电子商务行业领域涉非涉稳风险情况</w:t>
      </w:r>
      <w:r>
        <w:rPr>
          <w:rFonts w:hint="eastAsia" w:ascii="仿宋_GB2312" w:hAnsi="仿宋_GB2312" w:eastAsia="仿宋_GB2312" w:cs="仿宋_GB2312"/>
          <w:sz w:val="32"/>
          <w:szCs w:val="32"/>
          <w:lang w:val="en-US" w:eastAsia="zh-CN"/>
        </w:rPr>
        <w:t>及相关举报线索。</w:t>
      </w:r>
    </w:p>
    <w:p>
      <w:pPr>
        <w:pStyle w:val="2"/>
        <w:ind w:left="0" w:leftChars="0" w:firstLine="0" w:firstLineChars="0"/>
        <w:jc w:val="center"/>
        <w:rPr>
          <w:rFonts w:hint="default"/>
          <w:lang w:val="en-US" w:eastAsia="zh-CN"/>
        </w:rPr>
      </w:pPr>
      <w:r>
        <w:rPr>
          <w:rFonts w:hint="default"/>
          <w:lang w:val="en-US" w:eastAsia="zh-CN"/>
        </w:rPr>
        <w:drawing>
          <wp:inline distT="0" distB="0" distL="114300" distR="114300">
            <wp:extent cx="4467860" cy="3088005"/>
            <wp:effectExtent l="0" t="0" r="8890" b="1714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4467860" cy="308800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501515" cy="3279140"/>
            <wp:effectExtent l="0" t="0" r="13335" b="1651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4501515" cy="3279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下一步，我局将组织各相关部门持续开展我县</w:t>
      </w:r>
      <w:r>
        <w:rPr>
          <w:rFonts w:hint="eastAsia" w:ascii="仿宋_GB2312" w:hAnsi="仿宋_GB2312" w:eastAsia="仿宋_GB2312" w:cs="仿宋_GB2312"/>
          <w:sz w:val="32"/>
          <w:szCs w:val="32"/>
        </w:rPr>
        <w:t>电子商务行业领域涉非涉稳风险排查</w:t>
      </w:r>
      <w:r>
        <w:rPr>
          <w:rFonts w:hint="eastAsia" w:ascii="仿宋_GB2312" w:hAnsi="仿宋_GB2312" w:eastAsia="仿宋_GB2312" w:cs="仿宋_GB2312"/>
          <w:sz w:val="32"/>
          <w:szCs w:val="32"/>
          <w:lang w:val="en-US" w:eastAsia="zh-CN"/>
        </w:rPr>
        <w:t>整治工作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进一步建立健全电子商务领域涉非涉稳风险监测预警体系，从源头和根本上预防和减少涉非涉稳风险事件的发生。发挥社会组织、网络志愿者、网民等社会力量，参与有害信息举报工作。</w:t>
      </w:r>
      <w:r>
        <w:rPr>
          <w:rFonts w:hint="eastAsia" w:ascii="仿宋_GB2312" w:hAnsi="仿宋_GB2312" w:eastAsia="仿宋_GB2312" w:cs="仿宋_GB2312"/>
          <w:sz w:val="32"/>
          <w:szCs w:val="32"/>
        </w:rPr>
        <w:t>引导市场主体诚信、合法经营，铲除非法集资滋生的土壤，规范市场行为</w:t>
      </w:r>
      <w:r>
        <w:rPr>
          <w:rFonts w:hint="eastAsia" w:ascii="仿宋_GB2312" w:hAnsi="仿宋_GB2312" w:eastAsia="仿宋_GB2312" w:cs="仿宋_GB2312"/>
          <w:sz w:val="32"/>
          <w:szCs w:val="32"/>
          <w:lang w:val="en-US" w:eastAsia="zh-CN"/>
        </w:rPr>
        <w:t>，形成“人人参与维稳、人人共保平安”的生动局面，切实维护县域经济社会稳定发展。</w:t>
      </w: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tbl>
      <w:tblPr>
        <w:tblStyle w:val="6"/>
        <w:tblpPr w:leftFromText="180" w:rightFromText="180" w:vertAnchor="text" w:horzAnchor="page" w:tblpX="1657" w:tblpY="5306"/>
        <w:tblOverlap w:val="never"/>
        <w:tblW w:w="890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00" w:type="dxa"/>
            <w:tcBorders>
              <w:bottom w:val="single" w:color="auto" w:sz="4" w:space="0"/>
            </w:tcBorders>
            <w:noWrap w:val="0"/>
            <w:vAlign w:val="top"/>
          </w:tcPr>
          <w:p>
            <w:pPr>
              <w:spacing w:line="560" w:lineRule="exact"/>
              <w:jc w:val="left"/>
              <w:rPr>
                <w:rFonts w:hint="eastAsia" w:ascii="仿宋_GB2312" w:hAnsi="仿宋_GB2312" w:eastAsia="仿宋_GB2312"/>
                <w:sz w:val="32"/>
                <w:szCs w:val="32"/>
                <w:lang w:eastAsia="zh-CN"/>
              </w:rPr>
            </w:pPr>
            <w:r>
              <w:rPr>
                <w:rFonts w:ascii="仿宋_GB2312" w:hAnsi="仿宋_GB2312" w:eastAsia="仿宋_GB2312"/>
                <w:sz w:val="32"/>
                <w:szCs w:val="32"/>
              </w:rPr>
              <w:t>报：省商务厅，市商务局</w:t>
            </w:r>
            <w:r>
              <w:rPr>
                <w:rFonts w:hint="eastAsia" w:ascii="仿宋_GB2312" w:hAnsi="仿宋_GB2312" w:eastAsia="仿宋_GB2312"/>
                <w:sz w:val="32"/>
                <w:szCs w:val="32"/>
                <w:lang w:eastAsia="zh-CN"/>
              </w:rPr>
              <w:t>，</w:t>
            </w:r>
            <w:r>
              <w:rPr>
                <w:rFonts w:hint="eastAsia" w:ascii="仿宋_GB2312" w:hAnsi="仿宋_GB2312" w:eastAsia="仿宋_GB2312"/>
                <w:sz w:val="32"/>
                <w:szCs w:val="32"/>
                <w:lang w:val="en-US" w:eastAsia="zh-CN"/>
              </w:rPr>
              <w:t>县四套班子成员</w:t>
            </w:r>
          </w:p>
          <w:p>
            <w:pPr>
              <w:spacing w:line="560" w:lineRule="exact"/>
              <w:jc w:val="both"/>
              <w:rPr>
                <w:rFonts w:ascii="仿宋_GB2312" w:hAnsi="仿宋_GB2312" w:eastAsia="仿宋_GB2312"/>
                <w:sz w:val="32"/>
                <w:szCs w:val="32"/>
              </w:rPr>
            </w:pPr>
            <w:r>
              <w:rPr>
                <w:rFonts w:ascii="仿宋_GB2312" w:hAnsi="仿宋_GB2312" w:eastAsia="仿宋_GB2312"/>
                <w:sz w:val="32"/>
                <w:szCs w:val="32"/>
              </w:rPr>
              <w:t>送：县</w:t>
            </w:r>
            <w:r>
              <w:rPr>
                <w:rFonts w:hint="eastAsia" w:ascii="仿宋_GB2312" w:hAnsi="仿宋_GB2312" w:eastAsia="仿宋_GB2312"/>
                <w:sz w:val="32"/>
                <w:szCs w:val="32"/>
                <w:lang w:val="en-US" w:eastAsia="zh-CN"/>
              </w:rPr>
              <w:t>国家级</w:t>
            </w:r>
            <w:r>
              <w:rPr>
                <w:rFonts w:ascii="仿宋_GB2312" w:hAnsi="仿宋_GB2312" w:eastAsia="仿宋_GB2312"/>
                <w:sz w:val="32"/>
                <w:szCs w:val="32"/>
              </w:rPr>
              <w:t>电子商务进农村综合示范工作领导小组成员单位</w:t>
            </w:r>
          </w:p>
          <w:p>
            <w:pPr>
              <w:spacing w:line="560" w:lineRule="exact"/>
              <w:ind w:firstLine="640" w:firstLineChars="200"/>
              <w:jc w:val="left"/>
              <w:rPr>
                <w:rFonts w:hint="eastAsia" w:ascii="仿宋_GB2312" w:hAnsi="仿宋_GB2312" w:eastAsia="仿宋_GB2312"/>
                <w:sz w:val="32"/>
                <w:szCs w:val="32"/>
                <w:lang w:eastAsia="zh-CN"/>
              </w:rPr>
            </w:pPr>
            <w:r>
              <w:rPr>
                <w:rFonts w:ascii="仿宋_GB2312" w:hAnsi="仿宋_GB2312" w:eastAsia="仿宋_GB2312"/>
                <w:sz w:val="32"/>
                <w:szCs w:val="32"/>
              </w:rPr>
              <w:t>各镇</w:t>
            </w:r>
            <w:r>
              <w:rPr>
                <w:rFonts w:hint="eastAsia" w:ascii="仿宋_GB2312" w:hAnsi="仿宋_GB2312" w:eastAsia="仿宋_GB2312"/>
                <w:sz w:val="32"/>
                <w:szCs w:val="32"/>
                <w:lang w:val="en-US" w:eastAsia="zh-CN"/>
              </w:rPr>
              <w:t>人民</w:t>
            </w:r>
            <w:r>
              <w:rPr>
                <w:rFonts w:ascii="仿宋_GB2312" w:hAnsi="仿宋_GB2312" w:eastAsia="仿宋_GB2312"/>
                <w:sz w:val="32"/>
                <w:szCs w:val="32"/>
              </w:rPr>
              <w:t>政府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900" w:type="dxa"/>
            <w:tcBorders>
              <w:top w:val="single" w:color="auto" w:sz="4" w:space="0"/>
              <w:bottom w:val="nil"/>
            </w:tcBorders>
            <w:noWrap w:val="0"/>
            <w:vAlign w:val="top"/>
          </w:tcPr>
          <w:p>
            <w:pPr>
              <w:spacing w:line="560" w:lineRule="exact"/>
              <w:ind w:firstLine="640" w:firstLineChars="200"/>
              <w:jc w:val="right"/>
              <w:rPr>
                <w:rFonts w:ascii="仿宋_GB2312" w:hAnsi="仿宋_GB2312" w:eastAsia="仿宋_GB2312"/>
                <w:sz w:val="32"/>
                <w:szCs w:val="32"/>
              </w:rPr>
            </w:pPr>
            <w:r>
              <w:rPr>
                <w:rFonts w:hint="eastAsia" w:ascii="仿宋_GB2312" w:hAnsi="仿宋_GB2312" w:eastAsia="仿宋_GB2312" w:cs="Times New Roman"/>
                <w:sz w:val="32"/>
                <w:szCs w:val="32"/>
                <w:lang w:val="en-US" w:eastAsia="zh-CN" w:bidi="ar-SA"/>
              </w:rPr>
              <w:t>（共印75份）</w:t>
            </w:r>
          </w:p>
        </w:tc>
      </w:tr>
    </w:tbl>
    <w:p>
      <w:pPr>
        <w:rPr>
          <w:rFonts w:hint="eastAsia" w:ascii="仿宋_GB2312" w:hAnsi="仿宋_GB2312" w:eastAsia="仿宋_GB2312" w:cs="仿宋_GB2312"/>
          <w:sz w:val="32"/>
          <w:szCs w:val="32"/>
          <w:lang w:val="en-US" w:eastAsia="zh-CN"/>
        </w:rPr>
      </w:pPr>
    </w:p>
    <w:p>
      <w:pPr>
        <w:pStyle w:val="2"/>
        <w:rPr>
          <w:rFonts w:hint="eastAsia"/>
          <w:lang w:val="en-US" w:eastAsia="zh-CN"/>
        </w:rPr>
      </w:pPr>
      <w:bookmarkStart w:id="0" w:name="_GoBack"/>
      <w:bookmarkEnd w:id="0"/>
    </w:p>
    <w:p>
      <w:pPr>
        <w:pStyle w:val="2"/>
        <w:rPr>
          <w:rFonts w:hint="default"/>
          <w:lang w:val="en-US" w:eastAsia="zh-CN"/>
        </w:rPr>
      </w:pPr>
    </w:p>
    <w:sectPr>
      <w:footerReference r:id="rId3" w:type="default"/>
      <w:pgSz w:w="11906" w:h="16838"/>
      <w:pgMar w:top="1984" w:right="1474" w:bottom="1871"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663658"/>
    <w:rsid w:val="00822D65"/>
    <w:rsid w:val="011B597E"/>
    <w:rsid w:val="02252177"/>
    <w:rsid w:val="04584742"/>
    <w:rsid w:val="06DC09D0"/>
    <w:rsid w:val="089D6A54"/>
    <w:rsid w:val="0BC068B5"/>
    <w:rsid w:val="0C877C41"/>
    <w:rsid w:val="0E287AF3"/>
    <w:rsid w:val="0EDD1AF0"/>
    <w:rsid w:val="123F5EF6"/>
    <w:rsid w:val="128E1FE5"/>
    <w:rsid w:val="1B9926EC"/>
    <w:rsid w:val="1F981CA4"/>
    <w:rsid w:val="20495C9F"/>
    <w:rsid w:val="21E11295"/>
    <w:rsid w:val="223E0A83"/>
    <w:rsid w:val="24294460"/>
    <w:rsid w:val="2515159D"/>
    <w:rsid w:val="255569FC"/>
    <w:rsid w:val="29F37905"/>
    <w:rsid w:val="2D412A60"/>
    <w:rsid w:val="2D7E3B64"/>
    <w:rsid w:val="31D52CCB"/>
    <w:rsid w:val="36306479"/>
    <w:rsid w:val="3799526B"/>
    <w:rsid w:val="3B901703"/>
    <w:rsid w:val="3D24635C"/>
    <w:rsid w:val="3E2666DB"/>
    <w:rsid w:val="41CB35A8"/>
    <w:rsid w:val="41CD0F64"/>
    <w:rsid w:val="424E1D11"/>
    <w:rsid w:val="42AA3602"/>
    <w:rsid w:val="44307FE8"/>
    <w:rsid w:val="450807E8"/>
    <w:rsid w:val="4DD72F1C"/>
    <w:rsid w:val="4E4C2F21"/>
    <w:rsid w:val="5B501BD0"/>
    <w:rsid w:val="5BB67EB0"/>
    <w:rsid w:val="5D5545BA"/>
    <w:rsid w:val="5ED075BF"/>
    <w:rsid w:val="614D271B"/>
    <w:rsid w:val="61663658"/>
    <w:rsid w:val="61AD39B6"/>
    <w:rsid w:val="62666972"/>
    <w:rsid w:val="6414272C"/>
    <w:rsid w:val="669C6DB4"/>
    <w:rsid w:val="69AD7B6D"/>
    <w:rsid w:val="6C143135"/>
    <w:rsid w:val="6CD412AB"/>
    <w:rsid w:val="71060DB6"/>
    <w:rsid w:val="715D35C6"/>
    <w:rsid w:val="753D65DF"/>
    <w:rsid w:val="761501A5"/>
    <w:rsid w:val="79AF24C0"/>
    <w:rsid w:val="7A5B46EE"/>
    <w:rsid w:val="7A9E030A"/>
    <w:rsid w:val="7C576DCB"/>
    <w:rsid w:val="7DED478F"/>
    <w:rsid w:val="7E2D79B6"/>
    <w:rsid w:val="7FD06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7"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3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2022-10-25T06:54:00Z</dcterms:created>
  <dc:creator>jxz02</dc:creator>
  <cp:lastModifiedBy>曹聰</cp:lastModifiedBy>
  <dcterms:modified xsi:type="dcterms:W3CDTF">2022-12-05T01:56:25Z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CA895A53F05148238EEED0CC72A4F09B</vt:lpwstr>
  </property>
</Properties>
</file>