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8"/>
          <w:szCs w:val="44"/>
        </w:rPr>
      </w:pPr>
    </w:p>
    <w:p>
      <w:pPr>
        <w:widowControl/>
        <w:snapToGrid w:val="0"/>
        <w:spacing w:line="360" w:lineRule="auto"/>
        <w:jc w:val="center"/>
        <w:rPr>
          <w:rFonts w:ascii="Times New Roman" w:hAnsi="Times New Roman" w:eastAsia="仿宋_GB2312" w:cs="Times New Roman"/>
          <w:b/>
          <w:kern w:val="0"/>
          <w:sz w:val="48"/>
          <w:szCs w:val="44"/>
        </w:rPr>
      </w:pPr>
      <w:r>
        <w:rPr>
          <w:rFonts w:ascii="Times New Roman" w:hAnsi="Times New Roman" w:eastAsia="仿宋_GB2312" w:cs="Times New Roman"/>
          <w:b/>
          <w:kern w:val="0"/>
          <w:sz w:val="48"/>
          <w:szCs w:val="44"/>
        </w:rPr>
        <w:t>和平县</w:t>
      </w:r>
      <w:r>
        <w:rPr>
          <w:rFonts w:hint="eastAsia" w:ascii="Times New Roman" w:hAnsi="Times New Roman" w:eastAsia="仿宋_GB2312" w:cs="Times New Roman"/>
          <w:b/>
          <w:kern w:val="0"/>
          <w:sz w:val="48"/>
          <w:szCs w:val="44"/>
        </w:rPr>
        <w:t>2</w:t>
      </w:r>
      <w:r>
        <w:rPr>
          <w:rFonts w:ascii="Times New Roman" w:hAnsi="Times New Roman" w:eastAsia="仿宋_GB2312" w:cs="Times New Roman"/>
          <w:b/>
          <w:kern w:val="0"/>
          <w:sz w:val="48"/>
          <w:szCs w:val="44"/>
        </w:rPr>
        <w:t>020</w:t>
      </w:r>
      <w:r>
        <w:rPr>
          <w:rFonts w:hint="eastAsia" w:ascii="Times New Roman" w:hAnsi="Times New Roman" w:eastAsia="仿宋_GB2312" w:cs="Times New Roman"/>
          <w:b/>
          <w:kern w:val="0"/>
          <w:sz w:val="48"/>
          <w:szCs w:val="44"/>
        </w:rPr>
        <w:t>年城镇</w:t>
      </w:r>
      <w:r>
        <w:rPr>
          <w:rFonts w:ascii="Times New Roman" w:hAnsi="Times New Roman" w:eastAsia="仿宋_GB2312" w:cs="Times New Roman"/>
          <w:b/>
          <w:kern w:val="0"/>
          <w:sz w:val="48"/>
          <w:szCs w:val="44"/>
        </w:rPr>
        <w:t>国有建设用地标定地价</w:t>
      </w:r>
      <w:r>
        <w:rPr>
          <w:rFonts w:hint="eastAsia" w:ascii="Times New Roman" w:hAnsi="Times New Roman" w:eastAsia="仿宋_GB2312" w:cs="Times New Roman"/>
          <w:b/>
          <w:kern w:val="0"/>
          <w:sz w:val="48"/>
          <w:szCs w:val="44"/>
        </w:rPr>
        <w:t>体系建设</w:t>
      </w:r>
      <w:r>
        <w:rPr>
          <w:rFonts w:ascii="Times New Roman" w:hAnsi="Times New Roman" w:eastAsia="仿宋_GB2312" w:cs="Times New Roman"/>
          <w:b/>
          <w:kern w:val="0"/>
          <w:sz w:val="48"/>
          <w:szCs w:val="44"/>
        </w:rPr>
        <w:t>项目初步成果</w:t>
      </w: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r>
        <w:rPr>
          <w:rFonts w:ascii="Times New Roman" w:hAnsi="Times New Roman" w:eastAsia="仿宋_GB2312" w:cs="Times New Roman"/>
          <w:b/>
          <w:kern w:val="0"/>
          <w:sz w:val="44"/>
          <w:szCs w:val="44"/>
        </w:rPr>
        <w:t>（征求意见稿）</w:t>
      </w: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44"/>
          <w:szCs w:val="44"/>
        </w:rPr>
      </w:pPr>
    </w:p>
    <w:p>
      <w:pPr>
        <w:widowControl/>
        <w:snapToGrid w:val="0"/>
        <w:spacing w:line="360" w:lineRule="auto"/>
        <w:jc w:val="center"/>
        <w:rPr>
          <w:rFonts w:ascii="Times New Roman" w:hAnsi="Times New Roman" w:eastAsia="仿宋_GB2312" w:cs="Times New Roman"/>
          <w:b/>
          <w:kern w:val="0"/>
          <w:sz w:val="36"/>
          <w:szCs w:val="44"/>
        </w:rPr>
      </w:pPr>
      <w:r>
        <w:rPr>
          <w:rFonts w:hint="eastAsia" w:ascii="Times New Roman" w:hAnsi="Times New Roman" w:eastAsia="仿宋_GB2312" w:cs="Times New Roman"/>
          <w:b/>
          <w:kern w:val="0"/>
          <w:sz w:val="36"/>
          <w:szCs w:val="44"/>
        </w:rPr>
        <w:t>和平</w:t>
      </w:r>
      <w:r>
        <w:rPr>
          <w:rFonts w:ascii="Times New Roman" w:hAnsi="Times New Roman" w:eastAsia="仿宋_GB2312" w:cs="Times New Roman"/>
          <w:b/>
          <w:kern w:val="0"/>
          <w:sz w:val="36"/>
          <w:szCs w:val="44"/>
        </w:rPr>
        <w:t>县自然资源局</w:t>
      </w:r>
    </w:p>
    <w:p>
      <w:pPr>
        <w:widowControl/>
        <w:snapToGrid w:val="0"/>
        <w:spacing w:line="360" w:lineRule="auto"/>
        <w:jc w:val="center"/>
        <w:rPr>
          <w:rFonts w:ascii="Times New Roman" w:hAnsi="Times New Roman" w:eastAsia="仿宋_GB2312" w:cs="Times New Roman"/>
          <w:b/>
          <w:kern w:val="0"/>
          <w:sz w:val="36"/>
          <w:szCs w:val="44"/>
        </w:rPr>
      </w:pPr>
      <w:r>
        <w:rPr>
          <w:rFonts w:ascii="Times New Roman" w:hAnsi="Times New Roman" w:eastAsia="仿宋_GB2312" w:cs="Times New Roman"/>
          <w:b/>
          <w:kern w:val="0"/>
          <w:sz w:val="36"/>
          <w:szCs w:val="44"/>
        </w:rPr>
        <w:t>广东信德资产评估与房地产土地估价有限公司</w:t>
      </w:r>
    </w:p>
    <w:p>
      <w:pPr>
        <w:widowControl/>
        <w:snapToGrid w:val="0"/>
        <w:spacing w:line="360" w:lineRule="auto"/>
        <w:jc w:val="center"/>
        <w:rPr>
          <w:rFonts w:ascii="Times New Roman" w:hAnsi="Times New Roman" w:eastAsia="仿宋_GB2312" w:cs="Times New Roman"/>
          <w:b/>
          <w:kern w:val="0"/>
          <w:sz w:val="36"/>
          <w:szCs w:val="44"/>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b/>
          <w:kern w:val="0"/>
          <w:sz w:val="36"/>
          <w:szCs w:val="44"/>
        </w:rPr>
        <w:t>20</w:t>
      </w:r>
      <w:r>
        <w:rPr>
          <w:rFonts w:hint="eastAsia" w:ascii="Times New Roman" w:hAnsi="Times New Roman" w:eastAsia="仿宋_GB2312" w:cs="Times New Roman"/>
          <w:b/>
          <w:kern w:val="0"/>
          <w:sz w:val="36"/>
          <w:szCs w:val="44"/>
        </w:rPr>
        <w:t>21</w:t>
      </w:r>
      <w:r>
        <w:rPr>
          <w:rFonts w:ascii="Times New Roman" w:hAnsi="Times New Roman" w:eastAsia="仿宋_GB2312" w:cs="Times New Roman"/>
          <w:b/>
          <w:kern w:val="0"/>
          <w:sz w:val="36"/>
          <w:szCs w:val="44"/>
        </w:rPr>
        <w:t>年</w:t>
      </w:r>
      <w:r>
        <w:rPr>
          <w:rFonts w:hint="eastAsia" w:ascii="Times New Roman" w:hAnsi="Times New Roman" w:eastAsia="仿宋_GB2312" w:cs="Times New Roman"/>
          <w:b/>
          <w:kern w:val="0"/>
          <w:sz w:val="36"/>
          <w:szCs w:val="44"/>
        </w:rPr>
        <w:t>1</w:t>
      </w:r>
      <w:r>
        <w:rPr>
          <w:rFonts w:ascii="Times New Roman" w:hAnsi="Times New Roman" w:eastAsia="仿宋_GB2312" w:cs="Times New Roman"/>
          <w:b/>
          <w:kern w:val="0"/>
          <w:sz w:val="36"/>
          <w:szCs w:val="44"/>
        </w:rPr>
        <w:t>月</w:t>
      </w:r>
    </w:p>
    <w:p>
      <w:pPr>
        <w:widowControl/>
        <w:snapToGrid w:val="0"/>
        <w:spacing w:line="360" w:lineRule="auto"/>
        <w:jc w:val="center"/>
        <w:rPr>
          <w:rFonts w:ascii="Times New Roman" w:hAnsi="Times New Roman" w:eastAsia="黑体" w:cs="Times New Roman"/>
          <w:b/>
          <w:kern w:val="0"/>
          <w:sz w:val="36"/>
          <w:szCs w:val="30"/>
        </w:rPr>
      </w:pPr>
      <w:r>
        <w:rPr>
          <w:rFonts w:ascii="Times New Roman" w:hAnsi="Times New Roman" w:eastAsia="黑体" w:cs="Times New Roman"/>
          <w:b/>
          <w:kern w:val="0"/>
          <w:sz w:val="36"/>
          <w:szCs w:val="30"/>
        </w:rPr>
        <w:t>目   录</w:t>
      </w:r>
    </w:p>
    <w:p>
      <w:pPr>
        <w:pStyle w:val="9"/>
        <w:tabs>
          <w:tab w:val="right" w:leader="dot" w:pos="8296"/>
        </w:tabs>
        <w:spacing w:line="360" w:lineRule="auto"/>
        <w:rPr>
          <w:sz w:val="24"/>
          <w:szCs w:val="24"/>
        </w:rPr>
      </w:pPr>
      <w:r>
        <w:rPr>
          <w:rFonts w:ascii="Times New Roman" w:hAnsi="Times New Roman" w:eastAsia="仿宋_GB2312" w:cs="Times New Roman"/>
          <w:b/>
          <w:kern w:val="0"/>
          <w:sz w:val="36"/>
          <w:szCs w:val="28"/>
        </w:rPr>
        <w:fldChar w:fldCharType="begin"/>
      </w:r>
      <w:r>
        <w:rPr>
          <w:rFonts w:ascii="Times New Roman" w:hAnsi="Times New Roman" w:eastAsia="仿宋_GB2312" w:cs="Times New Roman"/>
          <w:b/>
          <w:kern w:val="0"/>
          <w:sz w:val="36"/>
          <w:szCs w:val="28"/>
        </w:rPr>
        <w:instrText xml:space="preserve"> TOC \o "1-2" \u </w:instrText>
      </w:r>
      <w:r>
        <w:rPr>
          <w:rFonts w:ascii="Times New Roman" w:hAnsi="Times New Roman" w:eastAsia="仿宋_GB2312" w:cs="Times New Roman"/>
          <w:b/>
          <w:kern w:val="0"/>
          <w:sz w:val="36"/>
          <w:szCs w:val="28"/>
        </w:rPr>
        <w:fldChar w:fldCharType="separate"/>
      </w:r>
      <w:r>
        <w:rPr>
          <w:rFonts w:hint="eastAsia" w:ascii="Times New Roman" w:hAnsi="Times New Roman" w:eastAsia="仿宋_GB2312" w:cs="Times New Roman"/>
          <w:b/>
          <w:kern w:val="0"/>
          <w:sz w:val="24"/>
          <w:szCs w:val="24"/>
        </w:rPr>
        <w:t>导</w:t>
      </w:r>
      <w:r>
        <w:rPr>
          <w:rFonts w:ascii="Times New Roman" w:hAnsi="Times New Roman" w:eastAsia="仿宋_GB2312" w:cs="Times New Roman"/>
          <w:b/>
          <w:kern w:val="0"/>
          <w:sz w:val="24"/>
          <w:szCs w:val="24"/>
        </w:rPr>
        <w:t xml:space="preserve">    </w:t>
      </w:r>
      <w:r>
        <w:rPr>
          <w:rFonts w:hint="eastAsia" w:ascii="Times New Roman" w:hAnsi="Times New Roman" w:eastAsia="仿宋_GB2312" w:cs="Times New Roman"/>
          <w:b/>
          <w:kern w:val="0"/>
          <w:sz w:val="24"/>
          <w:szCs w:val="24"/>
        </w:rPr>
        <w:t>读</w:t>
      </w:r>
      <w:r>
        <w:rPr>
          <w:sz w:val="24"/>
          <w:szCs w:val="24"/>
        </w:rPr>
        <w:tab/>
      </w:r>
      <w:r>
        <w:rPr>
          <w:sz w:val="24"/>
          <w:szCs w:val="24"/>
        </w:rPr>
        <w:fldChar w:fldCharType="begin"/>
      </w:r>
      <w:r>
        <w:rPr>
          <w:sz w:val="24"/>
          <w:szCs w:val="24"/>
        </w:rPr>
        <w:instrText xml:space="preserve"> PAGEREF _Toc61275797 \h </w:instrText>
      </w:r>
      <w:r>
        <w:rPr>
          <w:sz w:val="24"/>
          <w:szCs w:val="24"/>
        </w:rPr>
        <w:fldChar w:fldCharType="separate"/>
      </w:r>
      <w:r>
        <w:rPr>
          <w:sz w:val="24"/>
          <w:szCs w:val="24"/>
        </w:rPr>
        <w:t>1</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一、项目概况</w:t>
      </w:r>
      <w:r>
        <w:rPr>
          <w:sz w:val="24"/>
          <w:szCs w:val="24"/>
        </w:rPr>
        <w:tab/>
      </w:r>
      <w:r>
        <w:rPr>
          <w:sz w:val="24"/>
          <w:szCs w:val="24"/>
        </w:rPr>
        <w:fldChar w:fldCharType="begin"/>
      </w:r>
      <w:r>
        <w:rPr>
          <w:sz w:val="24"/>
          <w:szCs w:val="24"/>
        </w:rPr>
        <w:instrText xml:space="preserve"> PAGEREF _Toc61275798 \h </w:instrText>
      </w:r>
      <w:r>
        <w:rPr>
          <w:sz w:val="24"/>
          <w:szCs w:val="24"/>
        </w:rPr>
        <w:fldChar w:fldCharType="separate"/>
      </w:r>
      <w:r>
        <w:rPr>
          <w:sz w:val="24"/>
          <w:szCs w:val="24"/>
        </w:rPr>
        <w:t>3</w:t>
      </w:r>
      <w:r>
        <w:rPr>
          <w:sz w:val="24"/>
          <w:szCs w:val="24"/>
        </w:rPr>
        <w:fldChar w:fldCharType="end"/>
      </w:r>
    </w:p>
    <w:p>
      <w:pPr>
        <w:pStyle w:val="10"/>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（一）项目背景</w:t>
      </w:r>
      <w:r>
        <w:rPr>
          <w:sz w:val="24"/>
          <w:szCs w:val="24"/>
        </w:rPr>
        <w:tab/>
      </w:r>
      <w:r>
        <w:rPr>
          <w:sz w:val="24"/>
          <w:szCs w:val="24"/>
        </w:rPr>
        <w:fldChar w:fldCharType="begin"/>
      </w:r>
      <w:r>
        <w:rPr>
          <w:sz w:val="24"/>
          <w:szCs w:val="24"/>
        </w:rPr>
        <w:instrText xml:space="preserve"> PAGEREF _Toc61275799 \h </w:instrText>
      </w:r>
      <w:r>
        <w:rPr>
          <w:sz w:val="24"/>
          <w:szCs w:val="24"/>
        </w:rPr>
        <w:fldChar w:fldCharType="separate"/>
      </w:r>
      <w:r>
        <w:rPr>
          <w:sz w:val="24"/>
          <w:szCs w:val="24"/>
        </w:rPr>
        <w:t>3</w:t>
      </w:r>
      <w:r>
        <w:rPr>
          <w:sz w:val="24"/>
          <w:szCs w:val="24"/>
        </w:rPr>
        <w:fldChar w:fldCharType="end"/>
      </w:r>
    </w:p>
    <w:p>
      <w:pPr>
        <w:pStyle w:val="10"/>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（二）工作目标</w:t>
      </w:r>
      <w:r>
        <w:rPr>
          <w:sz w:val="24"/>
          <w:szCs w:val="24"/>
        </w:rPr>
        <w:tab/>
      </w:r>
      <w:r>
        <w:rPr>
          <w:sz w:val="24"/>
          <w:szCs w:val="24"/>
        </w:rPr>
        <w:fldChar w:fldCharType="begin"/>
      </w:r>
      <w:r>
        <w:rPr>
          <w:sz w:val="24"/>
          <w:szCs w:val="24"/>
        </w:rPr>
        <w:instrText xml:space="preserve"> PAGEREF _Toc61275800 \h </w:instrText>
      </w:r>
      <w:r>
        <w:rPr>
          <w:sz w:val="24"/>
          <w:szCs w:val="24"/>
        </w:rPr>
        <w:fldChar w:fldCharType="separate"/>
      </w:r>
      <w:r>
        <w:rPr>
          <w:sz w:val="24"/>
          <w:szCs w:val="24"/>
        </w:rPr>
        <w:t>6</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二、工作进度</w:t>
      </w:r>
      <w:r>
        <w:rPr>
          <w:sz w:val="24"/>
          <w:szCs w:val="24"/>
        </w:rPr>
        <w:tab/>
      </w:r>
      <w:r>
        <w:rPr>
          <w:sz w:val="24"/>
          <w:szCs w:val="24"/>
        </w:rPr>
        <w:fldChar w:fldCharType="begin"/>
      </w:r>
      <w:r>
        <w:rPr>
          <w:sz w:val="24"/>
          <w:szCs w:val="24"/>
        </w:rPr>
        <w:instrText xml:space="preserve"> PAGEREF _Toc61275801 \h </w:instrText>
      </w:r>
      <w:r>
        <w:rPr>
          <w:sz w:val="24"/>
          <w:szCs w:val="24"/>
        </w:rPr>
        <w:fldChar w:fldCharType="separate"/>
      </w:r>
      <w:r>
        <w:rPr>
          <w:sz w:val="24"/>
          <w:szCs w:val="24"/>
        </w:rPr>
        <w:t>8</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（一）准备工作阶段</w:t>
      </w:r>
      <w:r>
        <w:rPr>
          <w:sz w:val="24"/>
          <w:szCs w:val="24"/>
        </w:rPr>
        <w:tab/>
      </w:r>
      <w:r>
        <w:rPr>
          <w:sz w:val="24"/>
          <w:szCs w:val="24"/>
        </w:rPr>
        <w:fldChar w:fldCharType="begin"/>
      </w:r>
      <w:r>
        <w:rPr>
          <w:sz w:val="24"/>
          <w:szCs w:val="24"/>
        </w:rPr>
        <w:instrText xml:space="preserve"> PAGEREF _Toc61275802 \h </w:instrText>
      </w:r>
      <w:r>
        <w:rPr>
          <w:sz w:val="24"/>
          <w:szCs w:val="24"/>
        </w:rPr>
        <w:fldChar w:fldCharType="separate"/>
      </w:r>
      <w:r>
        <w:rPr>
          <w:sz w:val="24"/>
          <w:szCs w:val="24"/>
        </w:rPr>
        <w:t>8</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（二）资料收集与整理阶段</w:t>
      </w:r>
      <w:r>
        <w:rPr>
          <w:sz w:val="24"/>
          <w:szCs w:val="24"/>
        </w:rPr>
        <w:tab/>
      </w:r>
      <w:r>
        <w:rPr>
          <w:sz w:val="24"/>
          <w:szCs w:val="24"/>
        </w:rPr>
        <w:fldChar w:fldCharType="begin"/>
      </w:r>
      <w:r>
        <w:rPr>
          <w:sz w:val="24"/>
          <w:szCs w:val="24"/>
        </w:rPr>
        <w:instrText xml:space="preserve"> PAGEREF _Toc61275805 \h </w:instrText>
      </w:r>
      <w:r>
        <w:rPr>
          <w:sz w:val="24"/>
          <w:szCs w:val="24"/>
        </w:rPr>
        <w:fldChar w:fldCharType="separate"/>
      </w:r>
      <w:r>
        <w:rPr>
          <w:sz w:val="24"/>
          <w:szCs w:val="24"/>
        </w:rPr>
        <w:t>9</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（三）确定标定地价公示范围阶段</w:t>
      </w:r>
      <w:r>
        <w:rPr>
          <w:sz w:val="24"/>
          <w:szCs w:val="24"/>
        </w:rPr>
        <w:tab/>
      </w:r>
      <w:r>
        <w:rPr>
          <w:sz w:val="24"/>
          <w:szCs w:val="24"/>
        </w:rPr>
        <w:fldChar w:fldCharType="begin"/>
      </w:r>
      <w:r>
        <w:rPr>
          <w:sz w:val="24"/>
          <w:szCs w:val="24"/>
        </w:rPr>
        <w:instrText xml:space="preserve"> PAGEREF _Toc61275809 \h </w:instrText>
      </w:r>
      <w:r>
        <w:rPr>
          <w:sz w:val="24"/>
          <w:szCs w:val="24"/>
        </w:rPr>
        <w:fldChar w:fldCharType="separate"/>
      </w:r>
      <w:r>
        <w:rPr>
          <w:sz w:val="24"/>
          <w:szCs w:val="24"/>
        </w:rPr>
        <w:t>10</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（四）划分标定区域阶段</w:t>
      </w:r>
      <w:r>
        <w:rPr>
          <w:sz w:val="24"/>
          <w:szCs w:val="24"/>
        </w:rPr>
        <w:tab/>
      </w:r>
      <w:r>
        <w:rPr>
          <w:sz w:val="24"/>
          <w:szCs w:val="24"/>
        </w:rPr>
        <w:fldChar w:fldCharType="begin"/>
      </w:r>
      <w:r>
        <w:rPr>
          <w:sz w:val="24"/>
          <w:szCs w:val="24"/>
        </w:rPr>
        <w:instrText xml:space="preserve"> PAGEREF _Toc61275812 \h </w:instrText>
      </w:r>
      <w:r>
        <w:rPr>
          <w:sz w:val="24"/>
          <w:szCs w:val="24"/>
        </w:rPr>
        <w:fldChar w:fldCharType="separate"/>
      </w:r>
      <w:r>
        <w:rPr>
          <w:sz w:val="24"/>
          <w:szCs w:val="24"/>
        </w:rPr>
        <w:t>11</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（五）布设标准宗地阶段</w:t>
      </w:r>
      <w:r>
        <w:rPr>
          <w:sz w:val="24"/>
          <w:szCs w:val="24"/>
        </w:rPr>
        <w:tab/>
      </w:r>
      <w:r>
        <w:rPr>
          <w:sz w:val="24"/>
          <w:szCs w:val="24"/>
        </w:rPr>
        <w:fldChar w:fldCharType="begin"/>
      </w:r>
      <w:r>
        <w:rPr>
          <w:sz w:val="24"/>
          <w:szCs w:val="24"/>
        </w:rPr>
        <w:instrText xml:space="preserve"> PAGEREF _Toc61275815 \h </w:instrText>
      </w:r>
      <w:r>
        <w:rPr>
          <w:sz w:val="24"/>
          <w:szCs w:val="24"/>
        </w:rPr>
        <w:fldChar w:fldCharType="separate"/>
      </w:r>
      <w:r>
        <w:rPr>
          <w:sz w:val="24"/>
          <w:szCs w:val="24"/>
        </w:rPr>
        <w:t>12</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（六）标定地价评估阶段</w:t>
      </w:r>
      <w:r>
        <w:rPr>
          <w:sz w:val="24"/>
          <w:szCs w:val="24"/>
        </w:rPr>
        <w:tab/>
      </w:r>
      <w:r>
        <w:rPr>
          <w:sz w:val="24"/>
          <w:szCs w:val="24"/>
        </w:rPr>
        <w:fldChar w:fldCharType="begin"/>
      </w:r>
      <w:r>
        <w:rPr>
          <w:sz w:val="24"/>
          <w:szCs w:val="24"/>
        </w:rPr>
        <w:instrText xml:space="preserve"> PAGEREF _Toc61275818 \h </w:instrText>
      </w:r>
      <w:r>
        <w:rPr>
          <w:sz w:val="24"/>
          <w:szCs w:val="24"/>
        </w:rPr>
        <w:fldChar w:fldCharType="separate"/>
      </w:r>
      <w:r>
        <w:rPr>
          <w:sz w:val="24"/>
          <w:szCs w:val="24"/>
        </w:rPr>
        <w:t>13</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（七）成果编制阶段</w:t>
      </w:r>
      <w:r>
        <w:rPr>
          <w:sz w:val="24"/>
          <w:szCs w:val="24"/>
        </w:rPr>
        <w:tab/>
      </w:r>
      <w:r>
        <w:rPr>
          <w:sz w:val="24"/>
          <w:szCs w:val="24"/>
        </w:rPr>
        <w:fldChar w:fldCharType="begin"/>
      </w:r>
      <w:r>
        <w:rPr>
          <w:sz w:val="24"/>
          <w:szCs w:val="24"/>
        </w:rPr>
        <w:instrText xml:space="preserve"> PAGEREF _Toc61275821 \h </w:instrText>
      </w:r>
      <w:r>
        <w:rPr>
          <w:sz w:val="24"/>
          <w:szCs w:val="24"/>
        </w:rPr>
        <w:fldChar w:fldCharType="separate"/>
      </w:r>
      <w:r>
        <w:rPr>
          <w:sz w:val="24"/>
          <w:szCs w:val="24"/>
        </w:rPr>
        <w:t>14</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（八）成果听证阶段</w:t>
      </w:r>
      <w:r>
        <w:rPr>
          <w:sz w:val="24"/>
          <w:szCs w:val="24"/>
        </w:rPr>
        <w:tab/>
      </w:r>
      <w:r>
        <w:rPr>
          <w:sz w:val="24"/>
          <w:szCs w:val="24"/>
        </w:rPr>
        <w:fldChar w:fldCharType="begin"/>
      </w:r>
      <w:r>
        <w:rPr>
          <w:sz w:val="24"/>
          <w:szCs w:val="24"/>
        </w:rPr>
        <w:instrText xml:space="preserve"> PAGEREF _Toc61275824 \h </w:instrText>
      </w:r>
      <w:r>
        <w:rPr>
          <w:sz w:val="24"/>
          <w:szCs w:val="24"/>
        </w:rPr>
        <w:fldChar w:fldCharType="separate"/>
      </w:r>
      <w:r>
        <w:rPr>
          <w:sz w:val="24"/>
          <w:szCs w:val="24"/>
        </w:rPr>
        <w:t>15</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（九）成果评审及验收阶段</w:t>
      </w:r>
      <w:r>
        <w:rPr>
          <w:sz w:val="24"/>
          <w:szCs w:val="24"/>
        </w:rPr>
        <w:tab/>
      </w:r>
      <w:r>
        <w:rPr>
          <w:sz w:val="24"/>
          <w:szCs w:val="24"/>
        </w:rPr>
        <w:fldChar w:fldCharType="begin"/>
      </w:r>
      <w:r>
        <w:rPr>
          <w:sz w:val="24"/>
          <w:szCs w:val="24"/>
        </w:rPr>
        <w:instrText xml:space="preserve"> PAGEREF _Toc61275828 \h </w:instrText>
      </w:r>
      <w:r>
        <w:rPr>
          <w:sz w:val="24"/>
          <w:szCs w:val="24"/>
        </w:rPr>
        <w:fldChar w:fldCharType="separate"/>
      </w:r>
      <w:r>
        <w:rPr>
          <w:sz w:val="24"/>
          <w:szCs w:val="24"/>
        </w:rPr>
        <w:t>16</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（十）成果提交阶段</w:t>
      </w:r>
      <w:r>
        <w:rPr>
          <w:sz w:val="24"/>
          <w:szCs w:val="24"/>
        </w:rPr>
        <w:tab/>
      </w:r>
      <w:r>
        <w:rPr>
          <w:sz w:val="24"/>
          <w:szCs w:val="24"/>
        </w:rPr>
        <w:fldChar w:fldCharType="begin"/>
      </w:r>
      <w:r>
        <w:rPr>
          <w:sz w:val="24"/>
          <w:szCs w:val="24"/>
        </w:rPr>
        <w:instrText xml:space="preserve"> PAGEREF _Toc61275831 \h </w:instrText>
      </w:r>
      <w:r>
        <w:rPr>
          <w:sz w:val="24"/>
          <w:szCs w:val="24"/>
        </w:rPr>
        <w:fldChar w:fldCharType="separate"/>
      </w:r>
      <w:r>
        <w:rPr>
          <w:sz w:val="24"/>
          <w:szCs w:val="24"/>
        </w:rPr>
        <w:t>16</w:t>
      </w:r>
      <w:r>
        <w:rPr>
          <w:sz w:val="24"/>
          <w:szCs w:val="24"/>
        </w:rPr>
        <w:fldChar w:fldCharType="end"/>
      </w:r>
    </w:p>
    <w:p>
      <w:pPr>
        <w:pStyle w:val="10"/>
        <w:tabs>
          <w:tab w:val="right" w:leader="dot" w:pos="8296"/>
        </w:tabs>
        <w:spacing w:line="360" w:lineRule="auto"/>
        <w:rPr>
          <w:sz w:val="24"/>
          <w:szCs w:val="24"/>
        </w:rPr>
      </w:pPr>
      <w:r>
        <w:rPr>
          <w:rFonts w:hint="eastAsia" w:ascii="仿宋" w:hAnsi="仿宋" w:eastAsia="仿宋"/>
          <w:sz w:val="24"/>
          <w:szCs w:val="24"/>
        </w:rPr>
        <w:t>（十一）成果备案阶段</w:t>
      </w:r>
      <w:r>
        <w:rPr>
          <w:sz w:val="24"/>
          <w:szCs w:val="24"/>
        </w:rPr>
        <w:tab/>
      </w:r>
      <w:r>
        <w:rPr>
          <w:sz w:val="24"/>
          <w:szCs w:val="24"/>
        </w:rPr>
        <w:fldChar w:fldCharType="begin"/>
      </w:r>
      <w:r>
        <w:rPr>
          <w:sz w:val="24"/>
          <w:szCs w:val="24"/>
        </w:rPr>
        <w:instrText xml:space="preserve"> PAGEREF _Toc61275834 \h </w:instrText>
      </w:r>
      <w:r>
        <w:rPr>
          <w:sz w:val="24"/>
          <w:szCs w:val="24"/>
        </w:rPr>
        <w:fldChar w:fldCharType="separate"/>
      </w:r>
      <w:r>
        <w:rPr>
          <w:sz w:val="24"/>
          <w:szCs w:val="24"/>
        </w:rPr>
        <w:t>17</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三、公示范围</w:t>
      </w:r>
      <w:r>
        <w:rPr>
          <w:sz w:val="24"/>
          <w:szCs w:val="24"/>
        </w:rPr>
        <w:tab/>
      </w:r>
      <w:r>
        <w:rPr>
          <w:sz w:val="24"/>
          <w:szCs w:val="24"/>
        </w:rPr>
        <w:fldChar w:fldCharType="begin"/>
      </w:r>
      <w:r>
        <w:rPr>
          <w:sz w:val="24"/>
          <w:szCs w:val="24"/>
        </w:rPr>
        <w:instrText xml:space="preserve"> PAGEREF _Toc61275837 \h </w:instrText>
      </w:r>
      <w:r>
        <w:rPr>
          <w:sz w:val="24"/>
          <w:szCs w:val="24"/>
        </w:rPr>
        <w:fldChar w:fldCharType="separate"/>
      </w:r>
      <w:r>
        <w:rPr>
          <w:sz w:val="24"/>
          <w:szCs w:val="24"/>
        </w:rPr>
        <w:t>18</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四、布设情况介绍</w:t>
      </w:r>
      <w:r>
        <w:rPr>
          <w:sz w:val="24"/>
          <w:szCs w:val="24"/>
        </w:rPr>
        <w:tab/>
      </w:r>
      <w:r>
        <w:rPr>
          <w:sz w:val="24"/>
          <w:szCs w:val="24"/>
        </w:rPr>
        <w:fldChar w:fldCharType="begin"/>
      </w:r>
      <w:r>
        <w:rPr>
          <w:sz w:val="24"/>
          <w:szCs w:val="24"/>
        </w:rPr>
        <w:instrText xml:space="preserve"> PAGEREF _Toc61275838 \h </w:instrText>
      </w:r>
      <w:r>
        <w:rPr>
          <w:sz w:val="24"/>
          <w:szCs w:val="24"/>
        </w:rPr>
        <w:fldChar w:fldCharType="separate"/>
      </w:r>
      <w:r>
        <w:rPr>
          <w:sz w:val="24"/>
          <w:szCs w:val="24"/>
        </w:rPr>
        <w:t>19</w:t>
      </w:r>
      <w:r>
        <w:rPr>
          <w:sz w:val="24"/>
          <w:szCs w:val="24"/>
        </w:rPr>
        <w:fldChar w:fldCharType="end"/>
      </w:r>
    </w:p>
    <w:p>
      <w:pPr>
        <w:pStyle w:val="10"/>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（一）标定区域的划分情况</w:t>
      </w:r>
      <w:r>
        <w:rPr>
          <w:sz w:val="24"/>
          <w:szCs w:val="24"/>
        </w:rPr>
        <w:tab/>
      </w:r>
      <w:r>
        <w:rPr>
          <w:sz w:val="24"/>
          <w:szCs w:val="24"/>
        </w:rPr>
        <w:fldChar w:fldCharType="begin"/>
      </w:r>
      <w:r>
        <w:rPr>
          <w:sz w:val="24"/>
          <w:szCs w:val="24"/>
        </w:rPr>
        <w:instrText xml:space="preserve"> PAGEREF _Toc61275839 \h </w:instrText>
      </w:r>
      <w:r>
        <w:rPr>
          <w:sz w:val="24"/>
          <w:szCs w:val="24"/>
        </w:rPr>
        <w:fldChar w:fldCharType="separate"/>
      </w:r>
      <w:r>
        <w:rPr>
          <w:sz w:val="24"/>
          <w:szCs w:val="24"/>
        </w:rPr>
        <w:t>19</w:t>
      </w:r>
      <w:r>
        <w:rPr>
          <w:sz w:val="24"/>
          <w:szCs w:val="24"/>
        </w:rPr>
        <w:fldChar w:fldCharType="end"/>
      </w:r>
    </w:p>
    <w:p>
      <w:pPr>
        <w:pStyle w:val="10"/>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（二）标准宗地的设立情况</w:t>
      </w:r>
      <w:r>
        <w:rPr>
          <w:sz w:val="24"/>
          <w:szCs w:val="24"/>
        </w:rPr>
        <w:tab/>
      </w:r>
      <w:r>
        <w:rPr>
          <w:sz w:val="24"/>
          <w:szCs w:val="24"/>
        </w:rPr>
        <w:fldChar w:fldCharType="begin"/>
      </w:r>
      <w:r>
        <w:rPr>
          <w:sz w:val="24"/>
          <w:szCs w:val="24"/>
        </w:rPr>
        <w:instrText xml:space="preserve"> PAGEREF _Toc61275840 \h </w:instrText>
      </w:r>
      <w:r>
        <w:rPr>
          <w:sz w:val="24"/>
          <w:szCs w:val="24"/>
        </w:rPr>
        <w:fldChar w:fldCharType="separate"/>
      </w:r>
      <w:r>
        <w:rPr>
          <w:sz w:val="24"/>
          <w:szCs w:val="24"/>
        </w:rPr>
        <w:t>21</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五、标定地价初步成果</w:t>
      </w:r>
      <w:r>
        <w:rPr>
          <w:sz w:val="24"/>
          <w:szCs w:val="24"/>
        </w:rPr>
        <w:tab/>
      </w:r>
      <w:r>
        <w:rPr>
          <w:sz w:val="24"/>
          <w:szCs w:val="24"/>
        </w:rPr>
        <w:fldChar w:fldCharType="begin"/>
      </w:r>
      <w:r>
        <w:rPr>
          <w:sz w:val="24"/>
          <w:szCs w:val="24"/>
        </w:rPr>
        <w:instrText xml:space="preserve"> PAGEREF _Toc61275841 \h </w:instrText>
      </w:r>
      <w:r>
        <w:rPr>
          <w:sz w:val="24"/>
          <w:szCs w:val="24"/>
        </w:rPr>
        <w:fldChar w:fldCharType="separate"/>
      </w:r>
      <w:r>
        <w:rPr>
          <w:sz w:val="24"/>
          <w:szCs w:val="24"/>
        </w:rPr>
        <w:t>25</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附件</w:t>
      </w:r>
      <w:r>
        <w:rPr>
          <w:rFonts w:ascii="Times New Roman" w:hAnsi="Times New Roman" w:eastAsia="仿宋_GB2312" w:cs="Times New Roman"/>
          <w:b/>
          <w:kern w:val="0"/>
          <w:sz w:val="24"/>
          <w:szCs w:val="24"/>
        </w:rPr>
        <w:t>1</w:t>
      </w:r>
      <w:r>
        <w:rPr>
          <w:rFonts w:hint="eastAsia" w:ascii="Times New Roman" w:hAnsi="Times New Roman" w:eastAsia="仿宋_GB2312" w:cs="Times New Roman"/>
          <w:b/>
          <w:kern w:val="0"/>
          <w:sz w:val="24"/>
          <w:szCs w:val="24"/>
        </w:rPr>
        <w:t>标定地价建议值及结果对比表</w:t>
      </w:r>
      <w:r>
        <w:rPr>
          <w:sz w:val="24"/>
          <w:szCs w:val="24"/>
        </w:rPr>
        <w:tab/>
      </w:r>
      <w:r>
        <w:rPr>
          <w:sz w:val="24"/>
          <w:szCs w:val="24"/>
        </w:rPr>
        <w:fldChar w:fldCharType="begin"/>
      </w:r>
      <w:r>
        <w:rPr>
          <w:sz w:val="24"/>
          <w:szCs w:val="24"/>
        </w:rPr>
        <w:instrText xml:space="preserve"> PAGEREF _Toc61275842 \h </w:instrText>
      </w:r>
      <w:r>
        <w:rPr>
          <w:sz w:val="24"/>
          <w:szCs w:val="24"/>
        </w:rPr>
        <w:fldChar w:fldCharType="separate"/>
      </w:r>
      <w:r>
        <w:rPr>
          <w:sz w:val="24"/>
          <w:szCs w:val="24"/>
        </w:rPr>
        <w:t>26</w:t>
      </w:r>
      <w:r>
        <w:rPr>
          <w:sz w:val="24"/>
          <w:szCs w:val="24"/>
        </w:rPr>
        <w:fldChar w:fldCharType="end"/>
      </w:r>
    </w:p>
    <w:p>
      <w:pPr>
        <w:pStyle w:val="9"/>
        <w:tabs>
          <w:tab w:val="right" w:leader="dot" w:pos="8296"/>
        </w:tabs>
        <w:spacing w:line="360" w:lineRule="auto"/>
        <w:rPr>
          <w:sz w:val="24"/>
          <w:szCs w:val="24"/>
        </w:rPr>
      </w:pPr>
      <w:r>
        <w:rPr>
          <w:rFonts w:hint="eastAsia" w:ascii="Times New Roman" w:hAnsi="Times New Roman" w:eastAsia="仿宋_GB2312" w:cs="Times New Roman"/>
          <w:b/>
          <w:kern w:val="0"/>
          <w:sz w:val="24"/>
          <w:szCs w:val="24"/>
        </w:rPr>
        <w:t>附件</w:t>
      </w:r>
      <w:r>
        <w:rPr>
          <w:rFonts w:ascii="Times New Roman" w:hAnsi="Times New Roman" w:eastAsia="仿宋_GB2312" w:cs="Times New Roman"/>
          <w:b/>
          <w:kern w:val="0"/>
          <w:sz w:val="24"/>
          <w:szCs w:val="24"/>
        </w:rPr>
        <w:t>2</w:t>
      </w:r>
      <w:r>
        <w:rPr>
          <w:rFonts w:hint="eastAsia" w:ascii="Times New Roman" w:hAnsi="Times New Roman" w:eastAsia="仿宋_GB2312" w:cs="Times New Roman"/>
          <w:b/>
          <w:kern w:val="0"/>
          <w:sz w:val="24"/>
          <w:szCs w:val="24"/>
        </w:rPr>
        <w:t>标定地价标准区域布设图</w:t>
      </w:r>
      <w:r>
        <w:rPr>
          <w:sz w:val="24"/>
          <w:szCs w:val="24"/>
        </w:rPr>
        <w:tab/>
      </w:r>
      <w:r>
        <w:rPr>
          <w:sz w:val="24"/>
          <w:szCs w:val="24"/>
        </w:rPr>
        <w:fldChar w:fldCharType="begin"/>
      </w:r>
      <w:r>
        <w:rPr>
          <w:sz w:val="24"/>
          <w:szCs w:val="24"/>
        </w:rPr>
        <w:instrText xml:space="preserve"> PAGEREF _Toc61275843 \h </w:instrText>
      </w:r>
      <w:r>
        <w:rPr>
          <w:sz w:val="24"/>
          <w:szCs w:val="24"/>
        </w:rPr>
        <w:fldChar w:fldCharType="separate"/>
      </w:r>
      <w:r>
        <w:rPr>
          <w:sz w:val="24"/>
          <w:szCs w:val="24"/>
        </w:rPr>
        <w:t>28</w:t>
      </w:r>
      <w:r>
        <w:rPr>
          <w:sz w:val="24"/>
          <w:szCs w:val="24"/>
        </w:rPr>
        <w:fldChar w:fldCharType="end"/>
      </w:r>
    </w:p>
    <w:p>
      <w:pPr>
        <w:pStyle w:val="9"/>
        <w:tabs>
          <w:tab w:val="right" w:leader="dot" w:pos="8296"/>
        </w:tabs>
        <w:spacing w:line="360" w:lineRule="auto"/>
        <w:rPr>
          <w:sz w:val="24"/>
        </w:rPr>
      </w:pPr>
      <w:r>
        <w:rPr>
          <w:rFonts w:hint="eastAsia" w:ascii="Times New Roman" w:hAnsi="Times New Roman" w:eastAsia="仿宋_GB2312" w:cs="Times New Roman"/>
          <w:b/>
          <w:kern w:val="0"/>
          <w:sz w:val="24"/>
          <w:szCs w:val="24"/>
        </w:rPr>
        <w:t>附件</w:t>
      </w:r>
      <w:r>
        <w:rPr>
          <w:rFonts w:ascii="Times New Roman" w:hAnsi="Times New Roman" w:eastAsia="仿宋_GB2312" w:cs="Times New Roman"/>
          <w:b/>
          <w:kern w:val="0"/>
          <w:sz w:val="24"/>
          <w:szCs w:val="24"/>
        </w:rPr>
        <w:t>3</w:t>
      </w:r>
      <w:r>
        <w:rPr>
          <w:rFonts w:hint="eastAsia" w:ascii="Times New Roman" w:hAnsi="Times New Roman" w:eastAsia="仿宋_GB2312" w:cs="Times New Roman"/>
          <w:b/>
          <w:kern w:val="0"/>
          <w:sz w:val="24"/>
          <w:szCs w:val="24"/>
        </w:rPr>
        <w:t>和平县2020年城镇国有建设用地标定地价图</w:t>
      </w:r>
      <w:bookmarkStart w:id="218" w:name="_GoBack"/>
      <w:bookmarkEnd w:id="218"/>
      <w:r>
        <w:rPr>
          <w:sz w:val="24"/>
          <w:szCs w:val="24"/>
        </w:rPr>
        <w:tab/>
      </w:r>
      <w:r>
        <w:rPr>
          <w:sz w:val="24"/>
          <w:szCs w:val="24"/>
        </w:rPr>
        <w:fldChar w:fldCharType="begin"/>
      </w:r>
      <w:r>
        <w:rPr>
          <w:sz w:val="24"/>
          <w:szCs w:val="24"/>
        </w:rPr>
        <w:instrText xml:space="preserve"> PAGEREF _Toc61275844 \h </w:instrText>
      </w:r>
      <w:r>
        <w:rPr>
          <w:sz w:val="24"/>
          <w:szCs w:val="24"/>
        </w:rPr>
        <w:fldChar w:fldCharType="separate"/>
      </w:r>
      <w:r>
        <w:rPr>
          <w:sz w:val="24"/>
          <w:szCs w:val="24"/>
        </w:rPr>
        <w:t>29</w:t>
      </w:r>
      <w:r>
        <w:rPr>
          <w:sz w:val="24"/>
          <w:szCs w:val="24"/>
        </w:rPr>
        <w:fldChar w:fldCharType="end"/>
      </w:r>
    </w:p>
    <w:p>
      <w:pPr>
        <w:pStyle w:val="9"/>
        <w:tabs>
          <w:tab w:val="right" w:leader="dot" w:pos="8296"/>
        </w:tabs>
        <w:spacing w:line="360" w:lineRule="auto"/>
        <w:rPr>
          <w:sz w:val="24"/>
        </w:rPr>
      </w:pPr>
      <w:r>
        <w:rPr>
          <w:rFonts w:hint="eastAsia" w:ascii="Times New Roman" w:hAnsi="Times New Roman" w:eastAsia="仿宋_GB2312" w:cs="Times New Roman"/>
          <w:b/>
          <w:kern w:val="0"/>
          <w:sz w:val="24"/>
        </w:rPr>
        <w:t>附件</w:t>
      </w:r>
      <w:r>
        <w:rPr>
          <w:rFonts w:ascii="Times New Roman" w:hAnsi="Times New Roman" w:eastAsia="仿宋_GB2312" w:cs="Times New Roman"/>
          <w:b/>
          <w:kern w:val="0"/>
          <w:sz w:val="24"/>
        </w:rPr>
        <w:t>4</w:t>
      </w:r>
      <w:r>
        <w:rPr>
          <w:rFonts w:hint="eastAsia" w:ascii="Times New Roman" w:hAnsi="Times New Roman" w:eastAsia="仿宋_GB2312" w:cs="Times New Roman"/>
          <w:b/>
          <w:kern w:val="0"/>
          <w:sz w:val="24"/>
        </w:rPr>
        <w:t>和平县</w:t>
      </w:r>
      <w:r>
        <w:rPr>
          <w:rFonts w:ascii="Times New Roman" w:hAnsi="Times New Roman" w:eastAsia="仿宋_GB2312" w:cs="Times New Roman"/>
          <w:b/>
          <w:kern w:val="0"/>
          <w:sz w:val="24"/>
        </w:rPr>
        <w:t>2020</w:t>
      </w:r>
      <w:r>
        <w:rPr>
          <w:rFonts w:hint="eastAsia" w:ascii="Times New Roman" w:hAnsi="Times New Roman" w:eastAsia="仿宋_GB2312" w:cs="Times New Roman"/>
          <w:b/>
          <w:kern w:val="0"/>
          <w:sz w:val="24"/>
        </w:rPr>
        <w:t>年城镇国有建设用地标定地价图</w:t>
      </w:r>
      <w:r>
        <w:rPr>
          <w:sz w:val="24"/>
        </w:rPr>
        <w:tab/>
      </w:r>
      <w:r>
        <w:rPr>
          <w:sz w:val="24"/>
        </w:rPr>
        <w:fldChar w:fldCharType="begin"/>
      </w:r>
      <w:r>
        <w:rPr>
          <w:sz w:val="24"/>
        </w:rPr>
        <w:instrText xml:space="preserve"> PAGEREF _Toc61275845 \h </w:instrText>
      </w:r>
      <w:r>
        <w:rPr>
          <w:sz w:val="24"/>
        </w:rPr>
        <w:fldChar w:fldCharType="separate"/>
      </w:r>
      <w:r>
        <w:rPr>
          <w:sz w:val="24"/>
        </w:rPr>
        <w:t>30</w:t>
      </w:r>
      <w:r>
        <w:rPr>
          <w:sz w:val="24"/>
        </w:rPr>
        <w:fldChar w:fldCharType="end"/>
      </w:r>
    </w:p>
    <w:p>
      <w:pPr>
        <w:widowControl/>
        <w:snapToGrid w:val="0"/>
        <w:spacing w:line="360" w:lineRule="auto"/>
        <w:jc w:val="left"/>
        <w:rPr>
          <w:rFonts w:ascii="Times New Roman" w:hAnsi="Times New Roman" w:eastAsia="仿宋_GB2312" w:cs="Times New Roman"/>
          <w:b/>
          <w:kern w:val="0"/>
          <w:sz w:val="30"/>
          <w:szCs w:val="30"/>
        </w:rPr>
      </w:pPr>
      <w:r>
        <w:rPr>
          <w:rFonts w:ascii="Times New Roman" w:hAnsi="Times New Roman" w:eastAsia="仿宋_GB2312" w:cs="Times New Roman"/>
          <w:b/>
          <w:kern w:val="0"/>
          <w:sz w:val="36"/>
          <w:szCs w:val="28"/>
        </w:rPr>
        <w:fldChar w:fldCharType="end"/>
      </w:r>
    </w:p>
    <w:p>
      <w:pPr>
        <w:widowControl/>
        <w:adjustRightInd w:val="0"/>
        <w:snapToGrid w:val="0"/>
        <w:spacing w:line="360" w:lineRule="auto"/>
        <w:jc w:val="left"/>
        <w:outlineLvl w:val="0"/>
        <w:rPr>
          <w:rFonts w:ascii="Times New Roman" w:hAnsi="Times New Roman" w:eastAsia="仿宋_GB2312" w:cs="Times New Roman"/>
          <w:b/>
          <w:kern w:val="0"/>
          <w:sz w:val="30"/>
          <w:szCs w:val="30"/>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widowControl/>
        <w:adjustRightInd w:val="0"/>
        <w:snapToGrid w:val="0"/>
        <w:spacing w:line="360" w:lineRule="auto"/>
        <w:jc w:val="center"/>
        <w:outlineLvl w:val="0"/>
        <w:rPr>
          <w:rFonts w:ascii="Times New Roman" w:hAnsi="Times New Roman" w:eastAsia="仿宋_GB2312" w:cs="Times New Roman"/>
          <w:b/>
          <w:kern w:val="0"/>
          <w:sz w:val="30"/>
          <w:szCs w:val="30"/>
        </w:rPr>
      </w:pPr>
      <w:bookmarkStart w:id="0" w:name="_Toc61275797"/>
      <w:r>
        <w:rPr>
          <w:rFonts w:ascii="Times New Roman" w:hAnsi="Times New Roman" w:eastAsia="仿宋_GB2312" w:cs="Times New Roman"/>
          <w:b/>
          <w:kern w:val="0"/>
          <w:sz w:val="30"/>
          <w:szCs w:val="30"/>
        </w:rPr>
        <w:t>导    读</w:t>
      </w:r>
      <w:bookmarkEnd w:id="0"/>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1</w:t>
      </w:r>
      <w:r>
        <w:rPr>
          <w:rFonts w:hint="eastAsia" w:ascii="Times New Roman" w:hAnsi="Times New Roman" w:eastAsia="仿宋_GB2312" w:cs="Times New Roman"/>
          <w:kern w:val="0"/>
          <w:sz w:val="28"/>
        </w:rPr>
        <w:t>、</w:t>
      </w:r>
      <w:r>
        <w:rPr>
          <w:rFonts w:ascii="Times New Roman" w:hAnsi="Times New Roman" w:eastAsia="仿宋_GB2312" w:cs="Times New Roman"/>
          <w:kern w:val="0"/>
          <w:sz w:val="28"/>
        </w:rPr>
        <w:t>和平县城镇国有建设用地标定地价体系建设项目的公示范围为：《和平县城市总体规划图（2017-2035）》确定的包括和平县中心城区建成区范围和</w:t>
      </w:r>
      <w:r>
        <w:rPr>
          <w:rFonts w:hint="eastAsia" w:ascii="Times New Roman" w:hAnsi="Times New Roman" w:eastAsia="仿宋_GB2312" w:cs="Times New Roman"/>
          <w:kern w:val="0"/>
          <w:sz w:val="28"/>
        </w:rPr>
        <w:t>深圳福田</w:t>
      </w:r>
      <w:r>
        <w:rPr>
          <w:rFonts w:ascii="Times New Roman" w:hAnsi="Times New Roman" w:eastAsia="仿宋_GB2312" w:cs="Times New Roman"/>
          <w:kern w:val="0"/>
          <w:sz w:val="28"/>
        </w:rPr>
        <w:t>（和平县）产业转移工业园管理委员会行政区范围内的由</w:t>
      </w:r>
      <w:r>
        <w:rPr>
          <w:rFonts w:hint="eastAsia" w:ascii="Times New Roman" w:hAnsi="Times New Roman" w:eastAsia="仿宋_GB2312" w:cs="Times New Roman"/>
          <w:kern w:val="0"/>
          <w:sz w:val="28"/>
        </w:rPr>
        <w:t>21</w:t>
      </w:r>
      <w:r>
        <w:rPr>
          <w:rFonts w:ascii="Times New Roman" w:hAnsi="Times New Roman" w:eastAsia="仿宋_GB2312" w:cs="Times New Roman"/>
          <w:kern w:val="0"/>
          <w:sz w:val="28"/>
        </w:rPr>
        <w:t>个标定区域连接构成的空间范围，公示范围土地面积共约4.70平方公里。</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2</w:t>
      </w:r>
      <w:r>
        <w:rPr>
          <w:rFonts w:hint="eastAsia" w:ascii="Times New Roman" w:hAnsi="Times New Roman" w:eastAsia="仿宋_GB2312" w:cs="Times New Roman"/>
          <w:kern w:val="0"/>
          <w:sz w:val="28"/>
        </w:rPr>
        <w:t>、</w:t>
      </w:r>
      <w:r>
        <w:rPr>
          <w:rFonts w:ascii="Times New Roman" w:hAnsi="Times New Roman" w:eastAsia="仿宋_GB2312" w:cs="Times New Roman"/>
          <w:kern w:val="0"/>
          <w:sz w:val="28"/>
        </w:rPr>
        <w:t>本次和平县城镇国有建设用地标定地价的地价内涵：估价期日为2020年1月1日；土地开发程度为宗地红线外按现状基础设施开发条件、红线内按现状平整条件设定；商服用地、住宅用地、商住混合以及公共服务项目用地均为现状容积率下按照各用途比例的平均楼面地价，工业用地为现状容积率下的地面地价。</w:t>
      </w:r>
    </w:p>
    <w:p>
      <w:pPr>
        <w:widowControl/>
        <w:adjustRightInd w:val="0"/>
        <w:snapToGrid w:val="0"/>
        <w:spacing w:line="360" w:lineRule="auto"/>
        <w:jc w:val="center"/>
        <w:rPr>
          <w:rFonts w:hint="eastAsia" w:ascii="Times New Roman" w:hAnsi="Times New Roman" w:eastAsia="仿宋_GB2312" w:cs="Times New Roman"/>
          <w:kern w:val="0"/>
          <w:sz w:val="28"/>
        </w:rPr>
      </w:pPr>
      <w:r>
        <w:rPr>
          <w:rFonts w:ascii="仿宋" w:hAnsi="仿宋" w:eastAsia="仿宋" w:cs="仿宋"/>
          <w:b/>
          <w:kern w:val="0"/>
          <w:sz w:val="24"/>
          <w:szCs w:val="24"/>
        </w:rPr>
        <w:t>和平县</w:t>
      </w:r>
      <w:r>
        <w:rPr>
          <w:rFonts w:hint="eastAsia" w:ascii="仿宋" w:hAnsi="仿宋" w:eastAsia="仿宋" w:cs="仿宋"/>
          <w:b/>
          <w:kern w:val="0"/>
          <w:sz w:val="24"/>
          <w:szCs w:val="24"/>
        </w:rPr>
        <w:t>2020年</w:t>
      </w:r>
      <w:r>
        <w:rPr>
          <w:rFonts w:ascii="仿宋" w:hAnsi="仿宋" w:eastAsia="仿宋" w:cs="仿宋"/>
          <w:b/>
          <w:kern w:val="0"/>
          <w:sz w:val="24"/>
          <w:szCs w:val="24"/>
        </w:rPr>
        <w:t>城镇国有建设用地标定地价</w:t>
      </w:r>
      <w:r>
        <w:rPr>
          <w:rFonts w:hint="eastAsia" w:ascii="仿宋" w:hAnsi="仿宋" w:eastAsia="仿宋" w:cs="仿宋"/>
          <w:b/>
          <w:kern w:val="0"/>
          <w:sz w:val="24"/>
          <w:szCs w:val="24"/>
        </w:rPr>
        <w:t>体系</w:t>
      </w:r>
      <w:r>
        <w:rPr>
          <w:rFonts w:ascii="仿宋" w:hAnsi="仿宋" w:eastAsia="仿宋" w:cs="仿宋"/>
          <w:b/>
          <w:kern w:val="0"/>
          <w:sz w:val="24"/>
          <w:szCs w:val="24"/>
        </w:rPr>
        <w:t>建设地价内涵表</w:t>
      </w:r>
    </w:p>
    <w:tbl>
      <w:tblPr>
        <w:tblStyle w:val="12"/>
        <w:tblW w:w="898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371"/>
        <w:gridCol w:w="1353"/>
        <w:gridCol w:w="1107"/>
        <w:gridCol w:w="2338"/>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093"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用地类型</w:t>
            </w:r>
          </w:p>
        </w:tc>
        <w:tc>
          <w:tcPr>
            <w:tcW w:w="1371"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土地开发程度</w:t>
            </w:r>
          </w:p>
        </w:tc>
        <w:tc>
          <w:tcPr>
            <w:tcW w:w="1353"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容积率</w:t>
            </w:r>
          </w:p>
        </w:tc>
        <w:tc>
          <w:tcPr>
            <w:tcW w:w="1107"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价格表现形式</w:t>
            </w:r>
          </w:p>
        </w:tc>
        <w:tc>
          <w:tcPr>
            <w:tcW w:w="2338"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权利特征</w:t>
            </w:r>
          </w:p>
        </w:tc>
        <w:tc>
          <w:tcPr>
            <w:tcW w:w="1724" w:type="dxa"/>
            <w:vMerge w:val="restart"/>
            <w:shd w:val="clear" w:color="auto" w:fill="auto"/>
            <w:vAlign w:val="center"/>
          </w:tcPr>
          <w:p>
            <w:pPr>
              <w:widowControl/>
              <w:jc w:val="center"/>
              <w:rPr>
                <w:rFonts w:ascii="仿宋" w:hAnsi="仿宋" w:eastAsia="仿宋" w:cs="宋体"/>
                <w:b/>
                <w:bCs/>
                <w:color w:val="000000"/>
                <w:kern w:val="0"/>
                <w:sz w:val="22"/>
                <w:szCs w:val="24"/>
              </w:rPr>
            </w:pPr>
            <w:r>
              <w:rPr>
                <w:rFonts w:hint="eastAsia" w:ascii="仿宋" w:hAnsi="仿宋" w:eastAsia="仿宋" w:cs="宋体"/>
                <w:b/>
                <w:bCs/>
                <w:color w:val="000000"/>
                <w:kern w:val="0"/>
                <w:sz w:val="22"/>
                <w:szCs w:val="24"/>
              </w:rPr>
              <w:t>设定使用年期（年）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093" w:type="dxa"/>
            <w:vMerge w:val="continue"/>
            <w:vAlign w:val="center"/>
          </w:tcPr>
          <w:p>
            <w:pPr>
              <w:widowControl/>
              <w:jc w:val="left"/>
              <w:rPr>
                <w:rFonts w:ascii="仿宋" w:hAnsi="仿宋" w:eastAsia="仿宋" w:cs="宋体"/>
                <w:b/>
                <w:bCs/>
                <w:color w:val="000000"/>
                <w:kern w:val="0"/>
                <w:sz w:val="22"/>
                <w:szCs w:val="24"/>
              </w:rPr>
            </w:pPr>
          </w:p>
        </w:tc>
        <w:tc>
          <w:tcPr>
            <w:tcW w:w="1371" w:type="dxa"/>
            <w:vMerge w:val="continue"/>
            <w:vAlign w:val="center"/>
          </w:tcPr>
          <w:p>
            <w:pPr>
              <w:widowControl/>
              <w:jc w:val="left"/>
              <w:rPr>
                <w:rFonts w:ascii="仿宋" w:hAnsi="仿宋" w:eastAsia="仿宋" w:cs="宋体"/>
                <w:b/>
                <w:bCs/>
                <w:color w:val="000000"/>
                <w:kern w:val="0"/>
                <w:sz w:val="22"/>
                <w:szCs w:val="24"/>
              </w:rPr>
            </w:pPr>
          </w:p>
        </w:tc>
        <w:tc>
          <w:tcPr>
            <w:tcW w:w="1353" w:type="dxa"/>
            <w:vMerge w:val="continue"/>
            <w:vAlign w:val="center"/>
          </w:tcPr>
          <w:p>
            <w:pPr>
              <w:widowControl/>
              <w:jc w:val="left"/>
              <w:rPr>
                <w:rFonts w:ascii="仿宋" w:hAnsi="仿宋" w:eastAsia="仿宋" w:cs="宋体"/>
                <w:b/>
                <w:bCs/>
                <w:color w:val="000000"/>
                <w:kern w:val="0"/>
                <w:sz w:val="22"/>
                <w:szCs w:val="24"/>
              </w:rPr>
            </w:pPr>
          </w:p>
        </w:tc>
        <w:tc>
          <w:tcPr>
            <w:tcW w:w="1107" w:type="dxa"/>
            <w:vMerge w:val="continue"/>
            <w:vAlign w:val="center"/>
          </w:tcPr>
          <w:p>
            <w:pPr>
              <w:widowControl/>
              <w:jc w:val="left"/>
              <w:rPr>
                <w:rFonts w:ascii="仿宋" w:hAnsi="仿宋" w:eastAsia="仿宋" w:cs="宋体"/>
                <w:b/>
                <w:bCs/>
                <w:color w:val="000000"/>
                <w:kern w:val="0"/>
                <w:sz w:val="22"/>
                <w:szCs w:val="24"/>
              </w:rPr>
            </w:pPr>
          </w:p>
        </w:tc>
        <w:tc>
          <w:tcPr>
            <w:tcW w:w="2338" w:type="dxa"/>
            <w:vMerge w:val="continue"/>
            <w:vAlign w:val="center"/>
          </w:tcPr>
          <w:p>
            <w:pPr>
              <w:widowControl/>
              <w:jc w:val="left"/>
              <w:rPr>
                <w:rFonts w:ascii="仿宋" w:hAnsi="仿宋" w:eastAsia="仿宋" w:cs="宋体"/>
                <w:b/>
                <w:bCs/>
                <w:color w:val="000000"/>
                <w:kern w:val="0"/>
                <w:sz w:val="22"/>
                <w:szCs w:val="24"/>
              </w:rPr>
            </w:pPr>
          </w:p>
        </w:tc>
        <w:tc>
          <w:tcPr>
            <w:tcW w:w="1724" w:type="dxa"/>
            <w:vMerge w:val="continue"/>
            <w:vAlign w:val="center"/>
          </w:tcPr>
          <w:p>
            <w:pPr>
              <w:widowControl/>
              <w:jc w:val="left"/>
              <w:rPr>
                <w:rFonts w:ascii="仿宋" w:hAnsi="仿宋" w:eastAsia="仿宋" w:cs="宋体"/>
                <w:b/>
                <w:bCs/>
                <w:color w:val="000000"/>
                <w:kern w:val="0"/>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109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商服用地</w:t>
            </w:r>
          </w:p>
        </w:tc>
        <w:tc>
          <w:tcPr>
            <w:tcW w:w="1371"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宗地外按现状、红线内场地平整</w:t>
            </w:r>
          </w:p>
        </w:tc>
        <w:tc>
          <w:tcPr>
            <w:tcW w:w="135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按现状容积率，范围为1.18-5.35</w:t>
            </w:r>
          </w:p>
        </w:tc>
        <w:tc>
          <w:tcPr>
            <w:tcW w:w="1107"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平均楼面地价</w:t>
            </w:r>
          </w:p>
        </w:tc>
        <w:tc>
          <w:tcPr>
            <w:tcW w:w="2338"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具有相对完整的土地权利，不考虑抵押权、地役权等他项权利的限制</w:t>
            </w:r>
          </w:p>
        </w:tc>
        <w:tc>
          <w:tcPr>
            <w:tcW w:w="1724"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40年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3" w:type="dxa"/>
            <w:vMerge w:val="continue"/>
            <w:vAlign w:val="center"/>
          </w:tcPr>
          <w:p>
            <w:pPr>
              <w:widowControl/>
              <w:jc w:val="left"/>
              <w:rPr>
                <w:rFonts w:ascii="仿宋" w:hAnsi="仿宋" w:eastAsia="仿宋" w:cs="宋体"/>
                <w:color w:val="000000"/>
                <w:kern w:val="0"/>
                <w:sz w:val="22"/>
                <w:szCs w:val="24"/>
              </w:rPr>
            </w:pPr>
          </w:p>
        </w:tc>
        <w:tc>
          <w:tcPr>
            <w:tcW w:w="1371" w:type="dxa"/>
            <w:vMerge w:val="continue"/>
            <w:vAlign w:val="center"/>
          </w:tcPr>
          <w:p>
            <w:pPr>
              <w:widowControl/>
              <w:jc w:val="left"/>
              <w:rPr>
                <w:rFonts w:ascii="仿宋" w:hAnsi="仿宋" w:eastAsia="仿宋" w:cs="宋体"/>
                <w:color w:val="000000"/>
                <w:kern w:val="0"/>
                <w:sz w:val="22"/>
                <w:szCs w:val="24"/>
              </w:rPr>
            </w:pPr>
          </w:p>
        </w:tc>
        <w:tc>
          <w:tcPr>
            <w:tcW w:w="1353" w:type="dxa"/>
            <w:vMerge w:val="continue"/>
            <w:vAlign w:val="center"/>
          </w:tcPr>
          <w:p>
            <w:pPr>
              <w:widowControl/>
              <w:jc w:val="left"/>
              <w:rPr>
                <w:rFonts w:ascii="仿宋" w:hAnsi="仿宋" w:eastAsia="仿宋" w:cs="宋体"/>
                <w:color w:val="000000"/>
                <w:kern w:val="0"/>
                <w:sz w:val="22"/>
                <w:szCs w:val="24"/>
              </w:rPr>
            </w:pPr>
          </w:p>
        </w:tc>
        <w:tc>
          <w:tcPr>
            <w:tcW w:w="1107" w:type="dxa"/>
            <w:vMerge w:val="continue"/>
            <w:vAlign w:val="center"/>
          </w:tcPr>
          <w:p>
            <w:pPr>
              <w:widowControl/>
              <w:jc w:val="left"/>
              <w:rPr>
                <w:rFonts w:ascii="仿宋" w:hAnsi="仿宋" w:eastAsia="仿宋" w:cs="宋体"/>
                <w:color w:val="000000"/>
                <w:kern w:val="0"/>
                <w:sz w:val="22"/>
                <w:szCs w:val="24"/>
              </w:rPr>
            </w:pPr>
          </w:p>
        </w:tc>
        <w:tc>
          <w:tcPr>
            <w:tcW w:w="2338" w:type="dxa"/>
            <w:vMerge w:val="continue"/>
            <w:vAlign w:val="center"/>
          </w:tcPr>
          <w:p>
            <w:pPr>
              <w:widowControl/>
              <w:jc w:val="left"/>
              <w:rPr>
                <w:rFonts w:ascii="仿宋" w:hAnsi="仿宋" w:eastAsia="仿宋" w:cs="宋体"/>
                <w:color w:val="000000"/>
                <w:kern w:val="0"/>
                <w:sz w:val="22"/>
                <w:szCs w:val="24"/>
              </w:rPr>
            </w:pPr>
          </w:p>
        </w:tc>
        <w:tc>
          <w:tcPr>
            <w:tcW w:w="1724" w:type="dxa"/>
            <w:vMerge w:val="continue"/>
            <w:vAlign w:val="center"/>
          </w:tcPr>
          <w:p>
            <w:pPr>
              <w:widowControl/>
              <w:jc w:val="left"/>
              <w:rPr>
                <w:rFonts w:ascii="仿宋" w:hAnsi="仿宋" w:eastAsia="仿宋" w:cs="宋体"/>
                <w:color w:val="000000"/>
                <w:kern w:val="0"/>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trPr>
        <w:tc>
          <w:tcPr>
            <w:tcW w:w="1093"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住宅用地</w:t>
            </w:r>
          </w:p>
        </w:tc>
        <w:tc>
          <w:tcPr>
            <w:tcW w:w="1371"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宗地外按现状、红线内场地平整</w:t>
            </w:r>
          </w:p>
        </w:tc>
        <w:tc>
          <w:tcPr>
            <w:tcW w:w="1353"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按现状容积率，范围为12.85</w:t>
            </w:r>
          </w:p>
        </w:tc>
        <w:tc>
          <w:tcPr>
            <w:tcW w:w="1107"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平均楼面地价</w:t>
            </w:r>
          </w:p>
        </w:tc>
        <w:tc>
          <w:tcPr>
            <w:tcW w:w="2338"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具有相对完整的土地权利，不考虑抵押权、地役权等他项权利的限制</w:t>
            </w:r>
          </w:p>
        </w:tc>
        <w:tc>
          <w:tcPr>
            <w:tcW w:w="1724" w:type="dxa"/>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70年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09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商住混合用地</w:t>
            </w:r>
          </w:p>
        </w:tc>
        <w:tc>
          <w:tcPr>
            <w:tcW w:w="1371"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宗地外按现状、红线内场地平整</w:t>
            </w:r>
          </w:p>
        </w:tc>
        <w:tc>
          <w:tcPr>
            <w:tcW w:w="135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按现状容积率，范围为2.49-19.07</w:t>
            </w:r>
          </w:p>
        </w:tc>
        <w:tc>
          <w:tcPr>
            <w:tcW w:w="1107"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平均楼面地价</w:t>
            </w:r>
          </w:p>
        </w:tc>
        <w:tc>
          <w:tcPr>
            <w:tcW w:w="2338"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具有相对完整的土地权利，不考虑抵押权、地役权等他项权利的限制</w:t>
            </w:r>
          </w:p>
        </w:tc>
        <w:tc>
          <w:tcPr>
            <w:tcW w:w="1724"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商服用地40年；住宅用地70年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093" w:type="dxa"/>
            <w:vMerge w:val="continue"/>
            <w:vAlign w:val="center"/>
          </w:tcPr>
          <w:p>
            <w:pPr>
              <w:widowControl/>
              <w:jc w:val="left"/>
              <w:rPr>
                <w:rFonts w:ascii="仿宋" w:hAnsi="仿宋" w:eastAsia="仿宋" w:cs="宋体"/>
                <w:color w:val="000000"/>
                <w:kern w:val="0"/>
                <w:sz w:val="22"/>
                <w:szCs w:val="24"/>
              </w:rPr>
            </w:pPr>
          </w:p>
        </w:tc>
        <w:tc>
          <w:tcPr>
            <w:tcW w:w="1371" w:type="dxa"/>
            <w:vMerge w:val="continue"/>
            <w:vAlign w:val="center"/>
          </w:tcPr>
          <w:p>
            <w:pPr>
              <w:widowControl/>
              <w:jc w:val="left"/>
              <w:rPr>
                <w:rFonts w:ascii="仿宋" w:hAnsi="仿宋" w:eastAsia="仿宋" w:cs="宋体"/>
                <w:color w:val="000000"/>
                <w:kern w:val="0"/>
                <w:sz w:val="22"/>
                <w:szCs w:val="24"/>
              </w:rPr>
            </w:pPr>
          </w:p>
        </w:tc>
        <w:tc>
          <w:tcPr>
            <w:tcW w:w="1353" w:type="dxa"/>
            <w:vMerge w:val="continue"/>
            <w:vAlign w:val="center"/>
          </w:tcPr>
          <w:p>
            <w:pPr>
              <w:widowControl/>
              <w:jc w:val="left"/>
              <w:rPr>
                <w:rFonts w:ascii="仿宋" w:hAnsi="仿宋" w:eastAsia="仿宋" w:cs="宋体"/>
                <w:color w:val="000000"/>
                <w:kern w:val="0"/>
                <w:sz w:val="22"/>
                <w:szCs w:val="24"/>
              </w:rPr>
            </w:pPr>
          </w:p>
        </w:tc>
        <w:tc>
          <w:tcPr>
            <w:tcW w:w="1107" w:type="dxa"/>
            <w:vMerge w:val="continue"/>
            <w:vAlign w:val="center"/>
          </w:tcPr>
          <w:p>
            <w:pPr>
              <w:widowControl/>
              <w:jc w:val="left"/>
              <w:rPr>
                <w:rFonts w:ascii="仿宋" w:hAnsi="仿宋" w:eastAsia="仿宋" w:cs="宋体"/>
                <w:color w:val="000000"/>
                <w:kern w:val="0"/>
                <w:sz w:val="22"/>
                <w:szCs w:val="24"/>
              </w:rPr>
            </w:pPr>
          </w:p>
        </w:tc>
        <w:tc>
          <w:tcPr>
            <w:tcW w:w="2338" w:type="dxa"/>
            <w:vMerge w:val="continue"/>
            <w:vAlign w:val="center"/>
          </w:tcPr>
          <w:p>
            <w:pPr>
              <w:widowControl/>
              <w:jc w:val="left"/>
              <w:rPr>
                <w:rFonts w:ascii="仿宋" w:hAnsi="仿宋" w:eastAsia="仿宋" w:cs="宋体"/>
                <w:color w:val="000000"/>
                <w:kern w:val="0"/>
                <w:sz w:val="22"/>
                <w:szCs w:val="24"/>
              </w:rPr>
            </w:pPr>
          </w:p>
        </w:tc>
        <w:tc>
          <w:tcPr>
            <w:tcW w:w="1724" w:type="dxa"/>
            <w:vMerge w:val="continue"/>
            <w:vAlign w:val="center"/>
          </w:tcPr>
          <w:p>
            <w:pPr>
              <w:widowControl/>
              <w:jc w:val="left"/>
              <w:rPr>
                <w:rFonts w:ascii="仿宋" w:hAnsi="仿宋" w:eastAsia="仿宋" w:cs="宋体"/>
                <w:color w:val="000000"/>
                <w:kern w:val="0"/>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3" w:type="dxa"/>
            <w:vMerge w:val="continue"/>
            <w:vAlign w:val="center"/>
          </w:tcPr>
          <w:p>
            <w:pPr>
              <w:widowControl/>
              <w:jc w:val="left"/>
              <w:rPr>
                <w:rFonts w:ascii="仿宋" w:hAnsi="仿宋" w:eastAsia="仿宋" w:cs="宋体"/>
                <w:color w:val="000000"/>
                <w:kern w:val="0"/>
                <w:sz w:val="22"/>
                <w:szCs w:val="24"/>
              </w:rPr>
            </w:pPr>
          </w:p>
        </w:tc>
        <w:tc>
          <w:tcPr>
            <w:tcW w:w="1371" w:type="dxa"/>
            <w:vMerge w:val="continue"/>
            <w:vAlign w:val="center"/>
          </w:tcPr>
          <w:p>
            <w:pPr>
              <w:widowControl/>
              <w:jc w:val="left"/>
              <w:rPr>
                <w:rFonts w:ascii="仿宋" w:hAnsi="仿宋" w:eastAsia="仿宋" w:cs="宋体"/>
                <w:color w:val="000000"/>
                <w:kern w:val="0"/>
                <w:sz w:val="22"/>
                <w:szCs w:val="24"/>
              </w:rPr>
            </w:pPr>
          </w:p>
        </w:tc>
        <w:tc>
          <w:tcPr>
            <w:tcW w:w="1353" w:type="dxa"/>
            <w:vMerge w:val="continue"/>
            <w:vAlign w:val="center"/>
          </w:tcPr>
          <w:p>
            <w:pPr>
              <w:widowControl/>
              <w:jc w:val="left"/>
              <w:rPr>
                <w:rFonts w:ascii="仿宋" w:hAnsi="仿宋" w:eastAsia="仿宋" w:cs="宋体"/>
                <w:color w:val="000000"/>
                <w:kern w:val="0"/>
                <w:sz w:val="22"/>
                <w:szCs w:val="24"/>
              </w:rPr>
            </w:pPr>
          </w:p>
        </w:tc>
        <w:tc>
          <w:tcPr>
            <w:tcW w:w="1107" w:type="dxa"/>
            <w:vMerge w:val="continue"/>
            <w:vAlign w:val="center"/>
          </w:tcPr>
          <w:p>
            <w:pPr>
              <w:widowControl/>
              <w:jc w:val="left"/>
              <w:rPr>
                <w:rFonts w:ascii="仿宋" w:hAnsi="仿宋" w:eastAsia="仿宋" w:cs="宋体"/>
                <w:color w:val="000000"/>
                <w:kern w:val="0"/>
                <w:sz w:val="22"/>
                <w:szCs w:val="24"/>
              </w:rPr>
            </w:pPr>
          </w:p>
        </w:tc>
        <w:tc>
          <w:tcPr>
            <w:tcW w:w="2338" w:type="dxa"/>
            <w:vMerge w:val="continue"/>
            <w:vAlign w:val="center"/>
          </w:tcPr>
          <w:p>
            <w:pPr>
              <w:widowControl/>
              <w:jc w:val="left"/>
              <w:rPr>
                <w:rFonts w:ascii="仿宋" w:hAnsi="仿宋" w:eastAsia="仿宋" w:cs="宋体"/>
                <w:color w:val="000000"/>
                <w:kern w:val="0"/>
                <w:sz w:val="22"/>
                <w:szCs w:val="24"/>
              </w:rPr>
            </w:pPr>
          </w:p>
        </w:tc>
        <w:tc>
          <w:tcPr>
            <w:tcW w:w="1724" w:type="dxa"/>
            <w:vMerge w:val="continue"/>
            <w:vAlign w:val="center"/>
          </w:tcPr>
          <w:p>
            <w:pPr>
              <w:widowControl/>
              <w:jc w:val="left"/>
              <w:rPr>
                <w:rFonts w:ascii="仿宋" w:hAnsi="仿宋" w:eastAsia="仿宋" w:cs="宋体"/>
                <w:color w:val="000000"/>
                <w:kern w:val="0"/>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109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工业用地</w:t>
            </w:r>
          </w:p>
        </w:tc>
        <w:tc>
          <w:tcPr>
            <w:tcW w:w="1371"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宗地外按现状、红线内场地平整</w:t>
            </w:r>
          </w:p>
        </w:tc>
        <w:tc>
          <w:tcPr>
            <w:tcW w:w="135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按现状容积率，范围为1.06</w:t>
            </w:r>
          </w:p>
        </w:tc>
        <w:tc>
          <w:tcPr>
            <w:tcW w:w="1107"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地面地价</w:t>
            </w:r>
          </w:p>
        </w:tc>
        <w:tc>
          <w:tcPr>
            <w:tcW w:w="2338"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具有相对完整的土地权利，不考虑抵押权、地役权等他项权利的限制</w:t>
            </w:r>
          </w:p>
        </w:tc>
        <w:tc>
          <w:tcPr>
            <w:tcW w:w="1724"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093" w:type="dxa"/>
            <w:vMerge w:val="continue"/>
            <w:vAlign w:val="center"/>
          </w:tcPr>
          <w:p>
            <w:pPr>
              <w:widowControl/>
              <w:jc w:val="left"/>
              <w:rPr>
                <w:rFonts w:ascii="仿宋" w:hAnsi="仿宋" w:eastAsia="仿宋" w:cs="宋体"/>
                <w:color w:val="000000"/>
                <w:kern w:val="0"/>
                <w:sz w:val="22"/>
                <w:szCs w:val="24"/>
              </w:rPr>
            </w:pPr>
          </w:p>
        </w:tc>
        <w:tc>
          <w:tcPr>
            <w:tcW w:w="1371" w:type="dxa"/>
            <w:vMerge w:val="continue"/>
            <w:vAlign w:val="center"/>
          </w:tcPr>
          <w:p>
            <w:pPr>
              <w:widowControl/>
              <w:jc w:val="left"/>
              <w:rPr>
                <w:rFonts w:ascii="仿宋" w:hAnsi="仿宋" w:eastAsia="仿宋" w:cs="宋体"/>
                <w:color w:val="000000"/>
                <w:kern w:val="0"/>
                <w:sz w:val="22"/>
                <w:szCs w:val="24"/>
              </w:rPr>
            </w:pPr>
          </w:p>
        </w:tc>
        <w:tc>
          <w:tcPr>
            <w:tcW w:w="1353" w:type="dxa"/>
            <w:vMerge w:val="continue"/>
            <w:vAlign w:val="center"/>
          </w:tcPr>
          <w:p>
            <w:pPr>
              <w:widowControl/>
              <w:jc w:val="left"/>
              <w:rPr>
                <w:rFonts w:ascii="仿宋" w:hAnsi="仿宋" w:eastAsia="仿宋" w:cs="宋体"/>
                <w:color w:val="000000"/>
                <w:kern w:val="0"/>
                <w:sz w:val="22"/>
                <w:szCs w:val="24"/>
              </w:rPr>
            </w:pPr>
          </w:p>
        </w:tc>
        <w:tc>
          <w:tcPr>
            <w:tcW w:w="1107" w:type="dxa"/>
            <w:vMerge w:val="continue"/>
            <w:vAlign w:val="center"/>
          </w:tcPr>
          <w:p>
            <w:pPr>
              <w:widowControl/>
              <w:jc w:val="left"/>
              <w:rPr>
                <w:rFonts w:ascii="仿宋" w:hAnsi="仿宋" w:eastAsia="仿宋" w:cs="宋体"/>
                <w:color w:val="000000"/>
                <w:kern w:val="0"/>
                <w:sz w:val="22"/>
                <w:szCs w:val="24"/>
              </w:rPr>
            </w:pPr>
          </w:p>
        </w:tc>
        <w:tc>
          <w:tcPr>
            <w:tcW w:w="2338" w:type="dxa"/>
            <w:vMerge w:val="continue"/>
            <w:vAlign w:val="center"/>
          </w:tcPr>
          <w:p>
            <w:pPr>
              <w:widowControl/>
              <w:jc w:val="left"/>
              <w:rPr>
                <w:rFonts w:ascii="仿宋" w:hAnsi="仿宋" w:eastAsia="仿宋" w:cs="宋体"/>
                <w:color w:val="000000"/>
                <w:kern w:val="0"/>
                <w:sz w:val="22"/>
                <w:szCs w:val="24"/>
              </w:rPr>
            </w:pPr>
          </w:p>
        </w:tc>
        <w:tc>
          <w:tcPr>
            <w:tcW w:w="1724" w:type="dxa"/>
            <w:vMerge w:val="continue"/>
            <w:vAlign w:val="center"/>
          </w:tcPr>
          <w:p>
            <w:pPr>
              <w:widowControl/>
              <w:jc w:val="left"/>
              <w:rPr>
                <w:rFonts w:ascii="仿宋" w:hAnsi="仿宋" w:eastAsia="仿宋" w:cs="宋体"/>
                <w:color w:val="000000"/>
                <w:kern w:val="0"/>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09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公共服务用地</w:t>
            </w:r>
          </w:p>
        </w:tc>
        <w:tc>
          <w:tcPr>
            <w:tcW w:w="1371"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宗地外按现状、红线内场地平整</w:t>
            </w:r>
          </w:p>
        </w:tc>
        <w:tc>
          <w:tcPr>
            <w:tcW w:w="1353"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按现状容积率，范围为0.8</w:t>
            </w:r>
          </w:p>
        </w:tc>
        <w:tc>
          <w:tcPr>
            <w:tcW w:w="1107"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平均楼面地价</w:t>
            </w:r>
          </w:p>
        </w:tc>
        <w:tc>
          <w:tcPr>
            <w:tcW w:w="2338"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具有相对完整的土地权利，不考虑抵押权、地役权等他项权利的限制</w:t>
            </w:r>
          </w:p>
        </w:tc>
        <w:tc>
          <w:tcPr>
            <w:tcW w:w="1724" w:type="dxa"/>
            <w:vMerge w:val="restart"/>
            <w:shd w:val="clear" w:color="auto" w:fill="auto"/>
            <w:vAlign w:val="center"/>
          </w:tcPr>
          <w:p>
            <w:pPr>
              <w:widowControl/>
              <w:jc w:val="center"/>
              <w:rPr>
                <w:rFonts w:ascii="仿宋" w:hAnsi="仿宋" w:eastAsia="仿宋" w:cs="宋体"/>
                <w:color w:val="000000"/>
                <w:kern w:val="0"/>
                <w:sz w:val="22"/>
                <w:szCs w:val="24"/>
              </w:rPr>
            </w:pPr>
            <w:r>
              <w:rPr>
                <w:rFonts w:hint="eastAsia" w:ascii="仿宋" w:hAnsi="仿宋" w:eastAsia="仿宋" w:cs="宋体"/>
                <w:color w:val="000000"/>
                <w:kern w:val="0"/>
                <w:sz w:val="22"/>
                <w:szCs w:val="24"/>
              </w:rPr>
              <w:t>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093" w:type="dxa"/>
            <w:vMerge w:val="continue"/>
            <w:vAlign w:val="center"/>
          </w:tcPr>
          <w:p>
            <w:pPr>
              <w:widowControl/>
              <w:jc w:val="left"/>
              <w:rPr>
                <w:rFonts w:ascii="仿宋" w:hAnsi="仿宋" w:eastAsia="仿宋" w:cs="宋体"/>
                <w:color w:val="000000"/>
                <w:kern w:val="0"/>
                <w:sz w:val="22"/>
                <w:szCs w:val="24"/>
              </w:rPr>
            </w:pPr>
          </w:p>
        </w:tc>
        <w:tc>
          <w:tcPr>
            <w:tcW w:w="1371" w:type="dxa"/>
            <w:vMerge w:val="continue"/>
            <w:vAlign w:val="center"/>
          </w:tcPr>
          <w:p>
            <w:pPr>
              <w:widowControl/>
              <w:jc w:val="left"/>
              <w:rPr>
                <w:rFonts w:ascii="仿宋" w:hAnsi="仿宋" w:eastAsia="仿宋" w:cs="宋体"/>
                <w:color w:val="000000"/>
                <w:kern w:val="0"/>
                <w:sz w:val="22"/>
                <w:szCs w:val="24"/>
              </w:rPr>
            </w:pPr>
          </w:p>
        </w:tc>
        <w:tc>
          <w:tcPr>
            <w:tcW w:w="1353" w:type="dxa"/>
            <w:vMerge w:val="continue"/>
            <w:vAlign w:val="center"/>
          </w:tcPr>
          <w:p>
            <w:pPr>
              <w:widowControl/>
              <w:jc w:val="left"/>
              <w:rPr>
                <w:rFonts w:ascii="仿宋" w:hAnsi="仿宋" w:eastAsia="仿宋" w:cs="宋体"/>
                <w:color w:val="000000"/>
                <w:kern w:val="0"/>
                <w:sz w:val="22"/>
                <w:szCs w:val="24"/>
              </w:rPr>
            </w:pPr>
          </w:p>
        </w:tc>
        <w:tc>
          <w:tcPr>
            <w:tcW w:w="1107" w:type="dxa"/>
            <w:vMerge w:val="continue"/>
            <w:vAlign w:val="center"/>
          </w:tcPr>
          <w:p>
            <w:pPr>
              <w:widowControl/>
              <w:jc w:val="left"/>
              <w:rPr>
                <w:rFonts w:ascii="仿宋" w:hAnsi="仿宋" w:eastAsia="仿宋" w:cs="宋体"/>
                <w:color w:val="000000"/>
                <w:kern w:val="0"/>
                <w:sz w:val="22"/>
                <w:szCs w:val="24"/>
              </w:rPr>
            </w:pPr>
          </w:p>
        </w:tc>
        <w:tc>
          <w:tcPr>
            <w:tcW w:w="2338" w:type="dxa"/>
            <w:vMerge w:val="continue"/>
            <w:vAlign w:val="center"/>
          </w:tcPr>
          <w:p>
            <w:pPr>
              <w:widowControl/>
              <w:jc w:val="left"/>
              <w:rPr>
                <w:rFonts w:ascii="仿宋" w:hAnsi="仿宋" w:eastAsia="仿宋" w:cs="宋体"/>
                <w:color w:val="000000"/>
                <w:kern w:val="0"/>
                <w:sz w:val="22"/>
                <w:szCs w:val="24"/>
              </w:rPr>
            </w:pPr>
          </w:p>
        </w:tc>
        <w:tc>
          <w:tcPr>
            <w:tcW w:w="1724" w:type="dxa"/>
            <w:vMerge w:val="continue"/>
            <w:vAlign w:val="center"/>
          </w:tcPr>
          <w:p>
            <w:pPr>
              <w:widowControl/>
              <w:jc w:val="left"/>
              <w:rPr>
                <w:rFonts w:ascii="仿宋" w:hAnsi="仿宋" w:eastAsia="仿宋" w:cs="宋体"/>
                <w:color w:val="000000"/>
                <w:kern w:val="0"/>
                <w:sz w:val="22"/>
                <w:szCs w:val="24"/>
              </w:rPr>
            </w:pPr>
          </w:p>
        </w:tc>
      </w:tr>
    </w:tbl>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3</w:t>
      </w:r>
      <w:r>
        <w:rPr>
          <w:rFonts w:hint="eastAsia" w:ascii="Times New Roman" w:hAnsi="Times New Roman" w:eastAsia="仿宋_GB2312" w:cs="Times New Roman"/>
          <w:kern w:val="0"/>
          <w:sz w:val="28"/>
        </w:rPr>
        <w:t>、</w:t>
      </w:r>
      <w:r>
        <w:rPr>
          <w:rFonts w:ascii="Times New Roman" w:hAnsi="Times New Roman" w:eastAsia="仿宋_GB2312" w:cs="Times New Roman"/>
          <w:kern w:val="0"/>
          <w:sz w:val="28"/>
        </w:rPr>
        <w:t>本</w:t>
      </w:r>
      <w:r>
        <w:rPr>
          <w:rFonts w:hint="eastAsia" w:ascii="Times New Roman" w:hAnsi="Times New Roman" w:eastAsia="仿宋_GB2312" w:cs="Times New Roman"/>
          <w:kern w:val="0"/>
          <w:sz w:val="28"/>
        </w:rPr>
        <w:t>次</w:t>
      </w:r>
      <w:r>
        <w:rPr>
          <w:rFonts w:ascii="Times New Roman" w:hAnsi="Times New Roman" w:eastAsia="仿宋_GB2312" w:cs="Times New Roman"/>
          <w:kern w:val="0"/>
          <w:sz w:val="28"/>
        </w:rPr>
        <w:t>和平县城镇国有建设用地标定地价成果共划分标定区域</w:t>
      </w:r>
      <w:r>
        <w:rPr>
          <w:rFonts w:hint="eastAsia" w:ascii="Times New Roman" w:hAnsi="Times New Roman" w:eastAsia="仿宋_GB2312" w:cs="Times New Roman"/>
          <w:kern w:val="0"/>
          <w:sz w:val="28"/>
        </w:rPr>
        <w:t>21</w:t>
      </w:r>
      <w:r>
        <w:rPr>
          <w:rFonts w:ascii="Times New Roman" w:hAnsi="Times New Roman" w:eastAsia="仿宋_GB2312" w:cs="Times New Roman"/>
          <w:kern w:val="0"/>
          <w:sz w:val="28"/>
        </w:rPr>
        <w:t>个，面积为4.70平方公里，其中商服用途标定区域2个，</w:t>
      </w:r>
      <w:r>
        <w:rPr>
          <w:rFonts w:hint="eastAsia" w:ascii="Times New Roman" w:hAnsi="Times New Roman" w:eastAsia="仿宋_GB2312" w:cs="Times New Roman"/>
          <w:kern w:val="0"/>
          <w:sz w:val="28"/>
        </w:rPr>
        <w:t>住宅标定区域1个，</w:t>
      </w:r>
      <w:r>
        <w:rPr>
          <w:rFonts w:ascii="Times New Roman" w:hAnsi="Times New Roman" w:eastAsia="仿宋_GB2312" w:cs="Times New Roman"/>
          <w:kern w:val="0"/>
          <w:sz w:val="28"/>
        </w:rPr>
        <w:t>商住混合用途标定区域</w:t>
      </w:r>
      <w:r>
        <w:rPr>
          <w:rFonts w:hint="eastAsia" w:ascii="Times New Roman" w:hAnsi="Times New Roman" w:eastAsia="仿宋_GB2312" w:cs="Times New Roman"/>
          <w:kern w:val="0"/>
          <w:sz w:val="28"/>
        </w:rPr>
        <w:t>16</w:t>
      </w:r>
      <w:r>
        <w:rPr>
          <w:rFonts w:ascii="Times New Roman" w:hAnsi="Times New Roman" w:eastAsia="仿宋_GB2312" w:cs="Times New Roman"/>
          <w:kern w:val="0"/>
          <w:sz w:val="28"/>
        </w:rPr>
        <w:t>个，工业用途标定区域</w:t>
      </w:r>
      <w:r>
        <w:rPr>
          <w:rFonts w:hint="eastAsia" w:ascii="Times New Roman" w:hAnsi="Times New Roman" w:eastAsia="仿宋_GB2312" w:cs="Times New Roman"/>
          <w:kern w:val="0"/>
          <w:sz w:val="28"/>
        </w:rPr>
        <w:t>1</w:t>
      </w:r>
      <w:r>
        <w:rPr>
          <w:rFonts w:ascii="Times New Roman" w:hAnsi="Times New Roman" w:eastAsia="仿宋_GB2312" w:cs="Times New Roman"/>
          <w:kern w:val="0"/>
          <w:sz w:val="28"/>
        </w:rPr>
        <w:t>个</w:t>
      </w:r>
      <w:r>
        <w:rPr>
          <w:rFonts w:hint="eastAsia" w:ascii="Times New Roman" w:hAnsi="Times New Roman" w:eastAsia="仿宋_GB2312" w:cs="Times New Roman"/>
          <w:kern w:val="0"/>
          <w:sz w:val="28"/>
        </w:rPr>
        <w:t>，公共服务用途标定区域1个。</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4</w:t>
      </w:r>
      <w:r>
        <w:rPr>
          <w:rFonts w:hint="eastAsia" w:ascii="Times New Roman" w:hAnsi="Times New Roman" w:eastAsia="仿宋_GB2312" w:cs="Times New Roman"/>
          <w:kern w:val="0"/>
          <w:sz w:val="28"/>
        </w:rPr>
        <w:t>、本次</w:t>
      </w:r>
      <w:r>
        <w:rPr>
          <w:rFonts w:ascii="Times New Roman" w:hAnsi="Times New Roman" w:eastAsia="仿宋_GB2312" w:cs="Times New Roman"/>
          <w:kern w:val="0"/>
          <w:sz w:val="28"/>
        </w:rPr>
        <w:t>和平县城镇国有建设用地标定地价共布设2</w:t>
      </w:r>
      <w:r>
        <w:rPr>
          <w:rFonts w:hint="eastAsia" w:ascii="Times New Roman" w:hAnsi="Times New Roman" w:eastAsia="仿宋_GB2312" w:cs="Times New Roman"/>
          <w:kern w:val="0"/>
          <w:sz w:val="28"/>
        </w:rPr>
        <w:t>1</w:t>
      </w:r>
      <w:r>
        <w:rPr>
          <w:rFonts w:ascii="Times New Roman" w:hAnsi="Times New Roman" w:eastAsia="仿宋_GB2312" w:cs="Times New Roman"/>
          <w:kern w:val="0"/>
          <w:sz w:val="28"/>
        </w:rPr>
        <w:t>宗标准宗地，其中商服用地标准宗地2宗，住宅用地标准宗地</w:t>
      </w:r>
      <w:r>
        <w:rPr>
          <w:rFonts w:hint="eastAsia" w:ascii="Times New Roman" w:hAnsi="Times New Roman" w:eastAsia="仿宋_GB2312" w:cs="Times New Roman"/>
          <w:kern w:val="0"/>
          <w:sz w:val="28"/>
        </w:rPr>
        <w:t>1</w:t>
      </w:r>
      <w:r>
        <w:rPr>
          <w:rFonts w:ascii="Times New Roman" w:hAnsi="Times New Roman" w:eastAsia="仿宋_GB2312" w:cs="Times New Roman"/>
          <w:kern w:val="0"/>
          <w:sz w:val="28"/>
        </w:rPr>
        <w:t>宗，商住混合用地标准宗地</w:t>
      </w:r>
      <w:r>
        <w:rPr>
          <w:rFonts w:hint="eastAsia" w:ascii="Times New Roman" w:hAnsi="Times New Roman" w:eastAsia="仿宋_GB2312" w:cs="Times New Roman"/>
          <w:kern w:val="0"/>
          <w:sz w:val="28"/>
        </w:rPr>
        <w:t>16</w:t>
      </w:r>
      <w:r>
        <w:rPr>
          <w:rFonts w:ascii="Times New Roman" w:hAnsi="Times New Roman" w:eastAsia="仿宋_GB2312" w:cs="Times New Roman"/>
          <w:kern w:val="0"/>
          <w:sz w:val="28"/>
        </w:rPr>
        <w:t>宗，工业用地标准宗地</w:t>
      </w:r>
      <w:r>
        <w:rPr>
          <w:rFonts w:hint="eastAsia" w:ascii="Times New Roman" w:hAnsi="Times New Roman" w:eastAsia="仿宋_GB2312" w:cs="Times New Roman"/>
          <w:kern w:val="0"/>
          <w:sz w:val="28"/>
        </w:rPr>
        <w:t>1</w:t>
      </w:r>
      <w:r>
        <w:rPr>
          <w:rFonts w:ascii="Times New Roman" w:hAnsi="Times New Roman" w:eastAsia="仿宋_GB2312" w:cs="Times New Roman"/>
          <w:kern w:val="0"/>
          <w:sz w:val="28"/>
        </w:rPr>
        <w:t>宗，公共服务项目（医疗卫生用地）标准宗地1宗。</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5、本轮标定地价建议值详见附件2 标定地价建议值及结果对比表。</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hint="eastAsia" w:ascii="Times New Roman" w:hAnsi="Times New Roman" w:eastAsia="仿宋_GB2312" w:cs="Times New Roman"/>
          <w:kern w:val="0"/>
          <w:sz w:val="28"/>
        </w:rPr>
      </w:pPr>
    </w:p>
    <w:p>
      <w:pPr>
        <w:widowControl/>
        <w:adjustRightInd w:val="0"/>
        <w:snapToGrid w:val="0"/>
        <w:spacing w:line="360" w:lineRule="auto"/>
        <w:jc w:val="left"/>
        <w:outlineLvl w:val="0"/>
        <w:rPr>
          <w:rFonts w:ascii="Times New Roman" w:hAnsi="Times New Roman" w:eastAsia="仿宋_GB2312" w:cs="Times New Roman"/>
          <w:b/>
          <w:kern w:val="0"/>
          <w:sz w:val="32"/>
          <w:szCs w:val="30"/>
        </w:rPr>
      </w:pPr>
      <w:bookmarkStart w:id="1" w:name="_Toc61275798"/>
      <w:r>
        <w:rPr>
          <w:rFonts w:ascii="Times New Roman" w:hAnsi="Times New Roman" w:eastAsia="仿宋_GB2312" w:cs="Times New Roman"/>
          <w:b/>
          <w:kern w:val="0"/>
          <w:sz w:val="32"/>
          <w:szCs w:val="30"/>
        </w:rPr>
        <w:t>一、项目概况</w:t>
      </w:r>
      <w:bookmarkEnd w:id="1"/>
    </w:p>
    <w:p>
      <w:pPr>
        <w:widowControl/>
        <w:adjustRightInd w:val="0"/>
        <w:snapToGrid w:val="0"/>
        <w:spacing w:line="360" w:lineRule="auto"/>
        <w:jc w:val="left"/>
        <w:outlineLvl w:val="1"/>
        <w:rPr>
          <w:rFonts w:ascii="Times New Roman" w:hAnsi="Times New Roman" w:eastAsia="仿宋_GB2312" w:cs="Times New Roman"/>
          <w:b/>
          <w:kern w:val="0"/>
          <w:sz w:val="28"/>
        </w:rPr>
      </w:pPr>
      <w:bookmarkStart w:id="2" w:name="_Toc61275799"/>
      <w:r>
        <w:rPr>
          <w:rFonts w:ascii="Times New Roman" w:hAnsi="Times New Roman" w:eastAsia="仿宋_GB2312" w:cs="Times New Roman"/>
          <w:b/>
          <w:kern w:val="0"/>
          <w:sz w:val="28"/>
        </w:rPr>
        <w:t>（一）项目背景</w:t>
      </w:r>
      <w:bookmarkEnd w:id="2"/>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1、</w:t>
      </w:r>
      <w:r>
        <w:rPr>
          <w:rFonts w:ascii="Times New Roman" w:hAnsi="Times New Roman" w:eastAsia="仿宋_GB2312" w:cs="Times New Roman"/>
          <w:b/>
          <w:kern w:val="0"/>
          <w:sz w:val="28"/>
          <w:szCs w:val="28"/>
        </w:rPr>
        <w:t>标定地价的提出</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中华人民共和国城市房地产管理法》（1994年7月5日第八届全国人民代表大会常务委员会第八次会议通过）第三十三条规定：“基准地价、标定地价和各类房屋的重置价格应当定期确定并公布。”2007年8月30日第十届全国人民代表大会常务委员会第二十九次会议《关于修改〈中华人民共和国城市房地产管理法〉的决定》第一次修正和2009年8月27日第十一届全国人民代表大会常务委员会第十次会议</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《关于修改部分法律的决定》第二次修正和2019年8月26日第十三届全国人民代表大会常务委员会第十二次会议《关于修改〈中华人民共和国城市房地产管理法〉的决定》第三次修正均保留了相同的规定。</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2、</w:t>
      </w:r>
      <w:r>
        <w:rPr>
          <w:rFonts w:ascii="Times New Roman" w:hAnsi="Times New Roman" w:eastAsia="仿宋_GB2312" w:cs="Times New Roman"/>
          <w:b/>
          <w:kern w:val="0"/>
          <w:sz w:val="28"/>
          <w:szCs w:val="28"/>
        </w:rPr>
        <w:t>标定地价试点研究</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国土资源部办公厅关于做好2012年城市土地价格调查与监测工作的通知》（国土资厅发〔2012〕41号）规定：“在上海、长沙、唐山等城市开展标定地价公示试点；鼓励有条件的城市开展标定地价公示试点研究。”</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国土资源部办公厅关于2013年度城市地价调查与监测工作有关问题的通知》（国土资厅发〔2013〕23号）规定：“加快推进上海、长沙、唐山等城市的标定地价试点工作；鼓励有条件的城市主动开展标定地价试点，试点方案应经省级国土资源主管部门同意后报部备案。”</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国土资源部办公厅关于部署开展2014年度城市地价调查与监测工作的通知》（国土资厅发〔2014〕14号）规定：“抓紧推进建立全国标定地价公示体系，重点做好公示环节的工作。支持武汉、西安、青岛、太原、贵阳、珠海、临沂、保定、安阳等9个城市开展标定地价公示试点。”</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《国土资源部办公厅关于部署开展2015年度城市地价调查与监测工作的通知》（国土资厅发〔2015〕655号）规定：“鼓励青岛、贵阳、珠海、临沂、安阳等5城市探索开展标定地价公示试点。”</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《国土资源部办公厅关于部署开展2017年度城市地价调查与监测工作的通知》（国土资厅发〔2017〕16号）规定：“推进标定地价公示，2017年在重庆部署标定地价公示示范项目，支持深圳研究开展标定地价公示。”</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3、</w:t>
      </w:r>
      <w:r>
        <w:rPr>
          <w:rFonts w:ascii="Times New Roman" w:hAnsi="Times New Roman" w:eastAsia="仿宋_GB2312" w:cs="Times New Roman"/>
          <w:b/>
          <w:kern w:val="0"/>
          <w:sz w:val="28"/>
          <w:szCs w:val="28"/>
        </w:rPr>
        <w:t>标定地价全面启动</w:t>
      </w:r>
    </w:p>
    <w:p>
      <w:pPr>
        <w:spacing w:line="360" w:lineRule="auto"/>
        <w:ind w:firstLine="568" w:firstLineChars="200"/>
        <w:rPr>
          <w:rFonts w:ascii="仿宋" w:hAnsi="仿宋" w:eastAsia="仿宋" w:cs="仿宋"/>
          <w:spacing w:val="2"/>
          <w:sz w:val="28"/>
          <w:szCs w:val="24"/>
        </w:rPr>
      </w:pPr>
      <w:r>
        <w:rPr>
          <w:rFonts w:ascii="仿宋" w:hAnsi="仿宋" w:eastAsia="仿宋" w:cs="仿宋"/>
          <w:spacing w:val="2"/>
          <w:sz w:val="28"/>
          <w:szCs w:val="24"/>
        </w:rPr>
        <w:t>2017年7月13日自然资源部（原国土资源部，下同）下发了《关于加强公示地</w:t>
      </w:r>
      <w:r>
        <w:rPr>
          <w:rFonts w:hint="eastAsia" w:ascii="仿宋" w:hAnsi="仿宋" w:eastAsia="仿宋" w:cs="仿宋"/>
          <w:spacing w:val="2"/>
          <w:sz w:val="28"/>
          <w:szCs w:val="24"/>
        </w:rPr>
        <w:t>价体系建设和管理有关问题的通知》（国土资厅发〔2017〕27号）及2017年8月广东省自然资源厅（原广东省国土资源厅，下同）印发了《广东省国土资源厅转发国土资源部办公厅关于加强公示地价体系建设和管理有关问题的通知》（粤国土资利用发〔2017〕115号）均明确要求：自2018年开始，各市、县国土资源主管部门，要全面启动城镇标定地价体系建设，有条件的地区，标定地价体系可逐步扩展到农村集体建设用地。</w:t>
      </w:r>
    </w:p>
    <w:p>
      <w:pPr>
        <w:spacing w:line="360" w:lineRule="auto"/>
        <w:ind w:firstLine="568" w:firstLineChars="200"/>
        <w:rPr>
          <w:rFonts w:ascii="仿宋" w:hAnsi="仿宋" w:eastAsia="仿宋" w:cs="仿宋"/>
          <w:spacing w:val="2"/>
          <w:sz w:val="28"/>
          <w:szCs w:val="24"/>
        </w:rPr>
      </w:pPr>
      <w:r>
        <w:rPr>
          <w:rFonts w:hint="eastAsia" w:ascii="仿宋" w:hAnsi="仿宋" w:eastAsia="仿宋" w:cs="仿宋"/>
          <w:spacing w:val="2"/>
          <w:sz w:val="28"/>
          <w:szCs w:val="24"/>
        </w:rPr>
        <w:t>2019年6月6日，自然资源部办公厅下发《自然资源部办公厅关于部署开展2019年度自然资源评价评估工作的通知》（自然资办发〔2019〕36号）明确要求：“全面实现城镇标定地价公示。各省级自然资源主管部门要组织本行政区域内所有市（县）启动城镇标定地价公示工作，确保在2020年12月31日前完成。”</w:t>
      </w:r>
    </w:p>
    <w:p>
      <w:pPr>
        <w:spacing w:line="360" w:lineRule="auto"/>
        <w:ind w:firstLine="568" w:firstLineChars="200"/>
        <w:rPr>
          <w:rFonts w:ascii="仿宋" w:hAnsi="仿宋" w:eastAsia="仿宋" w:cs="仿宋"/>
          <w:spacing w:val="2"/>
          <w:sz w:val="28"/>
          <w:szCs w:val="24"/>
        </w:rPr>
      </w:pPr>
      <w:r>
        <w:rPr>
          <w:rFonts w:hint="eastAsia" w:ascii="仿宋" w:hAnsi="仿宋" w:eastAsia="仿宋" w:cs="仿宋"/>
          <w:spacing w:val="2"/>
          <w:sz w:val="28"/>
          <w:szCs w:val="24"/>
        </w:rPr>
        <w:t>2019年7月13日，广东省自然资源厅印发《广东省自然资源厅关于做好2019年度自然资源评价评估工作的通知》（粤自然资函〔2019〕1925号）明确指出：“各县（市、区）须在2019年9月30日前启动标定地价制订工作；在2020年3月30日前，完成估价期日为2020年1月1日的标定地价成果制订、验收工作；于2020年12月31日前完成成果公示、报备工作”。</w:t>
      </w:r>
    </w:p>
    <w:p>
      <w:pPr>
        <w:spacing w:line="360" w:lineRule="auto"/>
        <w:ind w:firstLine="568" w:firstLineChars="200"/>
        <w:rPr>
          <w:rFonts w:ascii="仿宋" w:hAnsi="仿宋" w:eastAsia="仿宋" w:cs="仿宋"/>
          <w:spacing w:val="2"/>
          <w:sz w:val="28"/>
          <w:szCs w:val="24"/>
        </w:rPr>
      </w:pPr>
      <w:r>
        <w:rPr>
          <w:rFonts w:hint="eastAsia" w:ascii="仿宋" w:hAnsi="仿宋" w:eastAsia="仿宋" w:cs="仿宋"/>
          <w:spacing w:val="2"/>
          <w:sz w:val="28"/>
          <w:szCs w:val="24"/>
        </w:rPr>
        <w:t>标定地价作为我国法定公示地价之一，以上相关法律法规及文件明确了标定地价的法律地位，并对开展标定地价工作进行了部署。</w:t>
      </w:r>
    </w:p>
    <w:p>
      <w:pPr>
        <w:spacing w:line="360" w:lineRule="auto"/>
        <w:ind w:firstLine="568" w:firstLineChars="200"/>
        <w:rPr>
          <w:rFonts w:ascii="仿宋" w:hAnsi="仿宋" w:eastAsia="仿宋" w:cs="仿宋"/>
          <w:spacing w:val="2"/>
          <w:sz w:val="28"/>
          <w:szCs w:val="24"/>
        </w:rPr>
      </w:pPr>
      <w:r>
        <w:rPr>
          <w:rFonts w:hint="eastAsia" w:ascii="仿宋" w:hAnsi="仿宋" w:eastAsia="仿宋" w:cs="仿宋"/>
          <w:spacing w:val="2"/>
          <w:sz w:val="28"/>
          <w:szCs w:val="24"/>
        </w:rPr>
        <w:t>随着城市的不断发展，地价管理已经成为城市土地资源管理越来越重要的手段。近年来，为加强地价管理，河源市和平县（以下简称“和平县”）陆续开展并更新了国有建设用地、国有农用地基准地价项目等，为和平县土地管理提供了较为有力的技术支撑和决策依据。但与土地市场建设及土地有偿使用方式多元化的需求相比，仍不够完善。</w:t>
      </w:r>
    </w:p>
    <w:p>
      <w:pPr>
        <w:widowControl/>
        <w:adjustRightInd w:val="0"/>
        <w:snapToGrid w:val="0"/>
        <w:spacing w:line="360" w:lineRule="auto"/>
        <w:ind w:firstLine="568" w:firstLineChars="200"/>
        <w:jc w:val="left"/>
        <w:rPr>
          <w:rFonts w:ascii="Times New Roman" w:hAnsi="Times New Roman" w:eastAsia="仿宋_GB2312" w:cs="Times New Roman"/>
          <w:kern w:val="0"/>
          <w:sz w:val="32"/>
        </w:rPr>
      </w:pPr>
      <w:r>
        <w:rPr>
          <w:rFonts w:hint="eastAsia" w:ascii="仿宋" w:hAnsi="仿宋" w:eastAsia="仿宋" w:cs="仿宋"/>
          <w:spacing w:val="2"/>
          <w:sz w:val="28"/>
          <w:szCs w:val="24"/>
        </w:rPr>
        <w:t>因此，为健全和平县公示地价体系，充分发挥市场配置土地资源决定性作用，及时反映国有建设用地使用权出让价格的动态变化，优化土地资源配置，为政府部门出让土地提供参考依据，根据法律、法规和相关规定，响应《自然资源部办公厅关于部署开展2019年度自然资源评价评估工作的通知》（自然资办发〔2019〕36号）“全面实现城镇标定地价公示。各省级自然资源主管部门要组织本行政区域内所有市（县）启动城镇标定地价公示工作，确保在2020年12月31日前完成”及《广东省自然资源厅关于做好2019年度自然资源评价评估工作的通知》（粤自然资函〔2019〕1925号）“各县（市、区）须在2019年9月30日前启动标定地价制订工作；在2020年3月30日前，完成估价期日为2020年1月1日的标定地价成果制订、验收工作；于2020年12月31日前完成成果公示、报备工作”的精神和要求，结合和平县国有建设用地市场实际，开展和平县城镇国有建设用地标定地价项目工作，建立和平县城镇国有建设用地标定地价体系。</w:t>
      </w:r>
    </w:p>
    <w:p>
      <w:pPr>
        <w:widowControl/>
        <w:adjustRightInd w:val="0"/>
        <w:snapToGrid w:val="0"/>
        <w:spacing w:line="360" w:lineRule="auto"/>
        <w:jc w:val="left"/>
        <w:outlineLvl w:val="1"/>
        <w:rPr>
          <w:rFonts w:ascii="Times New Roman" w:hAnsi="Times New Roman" w:eastAsia="仿宋_GB2312" w:cs="Times New Roman"/>
          <w:b/>
          <w:kern w:val="0"/>
          <w:sz w:val="32"/>
        </w:rPr>
      </w:pPr>
      <w:bookmarkStart w:id="3" w:name="_Toc61275800"/>
      <w:r>
        <w:rPr>
          <w:rFonts w:ascii="Times New Roman" w:hAnsi="Times New Roman" w:eastAsia="仿宋_GB2312" w:cs="Times New Roman"/>
          <w:b/>
          <w:kern w:val="0"/>
          <w:sz w:val="32"/>
        </w:rPr>
        <w:t>（二）工作目标</w:t>
      </w:r>
      <w:bookmarkEnd w:id="3"/>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4" w:name="_Toc7950764"/>
      <w:r>
        <w:rPr>
          <w:rFonts w:ascii="Times New Roman" w:hAnsi="Times New Roman" w:eastAsia="仿宋_GB2312" w:cs="Times New Roman"/>
          <w:b/>
          <w:kern w:val="0"/>
          <w:sz w:val="28"/>
          <w:szCs w:val="28"/>
        </w:rPr>
        <w:t>1、确定技术方案和技术要求</w:t>
      </w:r>
      <w:bookmarkEnd w:id="4"/>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按照国土资厅发〔2014〕14号文、国土资厅发〔2015〕655号文及附件、粤国土资利用函〔2018〕1532号等文件要求，结合和平县土地市场价格和地价管理规定执行情况，确定标定地价方案，包括确定年度标定地价项目工作的技术方案和技术要求等。</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5" w:name="_Toc7950765"/>
      <w:r>
        <w:rPr>
          <w:rFonts w:ascii="Times New Roman" w:hAnsi="Times New Roman" w:eastAsia="仿宋_GB2312" w:cs="Times New Roman"/>
          <w:b/>
          <w:kern w:val="0"/>
          <w:sz w:val="28"/>
          <w:szCs w:val="28"/>
        </w:rPr>
        <w:t>2、建立相应的项目组和制定项目管理制度</w:t>
      </w:r>
      <w:bookmarkEnd w:id="5"/>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根据项目的体系框架建立相应的项目组，制定项目的管理制度，规范参与的技术承担单位和估价师的行为，对整个项目工作进行管理、协调。</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6" w:name="_Toc7950766"/>
      <w:r>
        <w:rPr>
          <w:rFonts w:ascii="Times New Roman" w:hAnsi="Times New Roman" w:eastAsia="仿宋_GB2312" w:cs="Times New Roman"/>
          <w:b/>
          <w:kern w:val="0"/>
          <w:sz w:val="28"/>
          <w:szCs w:val="28"/>
        </w:rPr>
        <w:t>3、确定标定地价公示范围</w:t>
      </w:r>
      <w:bookmarkEnd w:id="6"/>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根据《标定地价规程》（TD/T 1052-2017）要求，标定地价公示范围划定应以行政辖区为基础，根据市场发育和政府的服务监管需求灵活确定；宜覆盖建成区、开发区，逐步拓展至近期城镇规划建设区及农村集体土地市场发育较好的城镇。</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7" w:name="_Toc7950767"/>
      <w:r>
        <w:rPr>
          <w:rFonts w:ascii="Times New Roman" w:hAnsi="Times New Roman" w:eastAsia="仿宋_GB2312" w:cs="Times New Roman"/>
          <w:b/>
          <w:kern w:val="0"/>
          <w:sz w:val="28"/>
          <w:szCs w:val="28"/>
        </w:rPr>
        <w:t>4、划分标定区域</w:t>
      </w:r>
      <w:bookmarkEnd w:id="7"/>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在和平县2020年基准地价成果土地级别或均质地域的基础上，调查并整理土地利用与地价信息，通过多因素综合评价法、地价水平归纳法、专家评判法、叠加法等方法，初步划分各用途标定区域。实地核查土地利用现状，核实内业资料信息，根据内业与外业调查资料，结合区域内宗地的分布情况，通过综合平衡与局部调整，确定标定区域。根据《标定地价规程》（TD/T1052-2017）要求的编码规则对各标定区域进行编码登记。</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8" w:name="_Toc7950768"/>
      <w:r>
        <w:rPr>
          <w:rFonts w:ascii="Times New Roman" w:hAnsi="Times New Roman" w:eastAsia="仿宋_GB2312" w:cs="Times New Roman"/>
          <w:b/>
          <w:kern w:val="0"/>
          <w:sz w:val="28"/>
          <w:szCs w:val="28"/>
        </w:rPr>
        <w:t>5、设立标准宗地</w:t>
      </w:r>
      <w:bookmarkEnd w:id="8"/>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bookmarkStart w:id="9" w:name="_Toc7950769"/>
      <w:r>
        <w:rPr>
          <w:rFonts w:ascii="Times New Roman" w:hAnsi="Times New Roman" w:eastAsia="仿宋_GB2312" w:cs="Times New Roman"/>
          <w:kern w:val="0"/>
          <w:sz w:val="28"/>
        </w:rPr>
        <w:t>标准宗地的设立遵循代表性、确定性、标识性等基本原则。优先将符合条件的地价样点纳入标准宗地；通过地籍调查、不动产登记等工作成果，补充宗地，确定宗地位置及基本信息，形成备选样点资料库；通过核实宗地现场、查阅相关档案和走访相关机构，核实并补充信息，调查土地利用现状、周边环境、不动产价格水平等；结合内业调查和外业调查核实资料，分析样点的宗地条件和土地利用状况，根据标准宗地选取要求，筛选确定标准宗地，最后对标准宗地进行编码与登记。</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6、完成标准宗地基础信息的采集工作</w:t>
      </w:r>
      <w:bookmarkEnd w:id="9"/>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参照《城市地价动态监测技术规范》（TD/T 1009－2007）的要求及标准宗地设立的实际情况，完成标准宗地基础信息的采集工作，并形成相应的数据成果。</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10" w:name="_Toc7950770"/>
      <w:r>
        <w:rPr>
          <w:rFonts w:ascii="Times New Roman" w:hAnsi="Times New Roman" w:eastAsia="仿宋_GB2312" w:cs="Times New Roman"/>
          <w:b/>
          <w:kern w:val="0"/>
          <w:sz w:val="28"/>
          <w:szCs w:val="28"/>
        </w:rPr>
        <w:t>7、完成标定地价评估</w:t>
      </w:r>
      <w:bookmarkEnd w:id="10"/>
      <w:r>
        <w:rPr>
          <w:rFonts w:ascii="Times New Roman" w:hAnsi="Times New Roman" w:eastAsia="仿宋_GB2312" w:cs="Times New Roman"/>
          <w:b/>
          <w:kern w:val="0"/>
          <w:sz w:val="28"/>
          <w:szCs w:val="28"/>
        </w:rPr>
        <w:t>工作</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bookmarkStart w:id="11" w:name="_Toc7950771"/>
      <w:r>
        <w:rPr>
          <w:rFonts w:ascii="Times New Roman" w:hAnsi="Times New Roman" w:eastAsia="仿宋_GB2312" w:cs="Times New Roman"/>
          <w:kern w:val="0"/>
          <w:sz w:val="28"/>
        </w:rPr>
        <w:t>组织土地估价专业评估师按照《城镇土地估价规程》（GB/T 18508-2014）和《标定地价规程》（TD/T 1052-2017）的要求选取合适的评估方法对标准宗地进行价格评估，填写相应表格，说明评估要点，编制评估报告。每宗标准宗地价格由两名土地估价专业评估师独立负责评估，依据两名评估师的评估结果，提出标定地价建议值，经审议后确定标定地价。</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8、标定地价评估结果的审核汇总</w:t>
      </w:r>
      <w:bookmarkEnd w:id="11"/>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对和平县各用途的标定地价评估初步结果进行审核及汇总，得到各标定区域的标定地价评估结果。对评估的“及时、真实、准确、规范、完备”负责，保证项目成果的科学、合理，保证项目成果能够满足公示和应用的需求。</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9、</w:t>
      </w:r>
      <w:r>
        <w:rPr>
          <w:rFonts w:ascii="Times New Roman" w:hAnsi="Times New Roman" w:eastAsia="仿宋_GB2312" w:cs="Times New Roman"/>
          <w:b/>
          <w:kern w:val="0"/>
          <w:sz w:val="28"/>
          <w:szCs w:val="28"/>
        </w:rPr>
        <w:t>标定地价成果的编制</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根据《标定地价规程》（TD/T 1052-2017）的要求，编制</w:t>
      </w:r>
      <w:r>
        <w:rPr>
          <w:rFonts w:hint="eastAsia" w:ascii="Times New Roman" w:hAnsi="Times New Roman" w:eastAsia="仿宋_GB2312" w:cs="Times New Roman"/>
          <w:kern w:val="0"/>
          <w:sz w:val="28"/>
        </w:rPr>
        <w:t>和平县</w:t>
      </w:r>
      <w:r>
        <w:rPr>
          <w:rFonts w:ascii="Times New Roman" w:hAnsi="Times New Roman" w:eastAsia="仿宋_GB2312" w:cs="Times New Roman"/>
          <w:kern w:val="0"/>
          <w:sz w:val="28"/>
        </w:rPr>
        <w:t>城镇国有建设用地标定地价评估项目成果。包括标定地价工作报告、标定地价体系建设报告、标准宗地基本信息登记表、标准宗地评估技术要点表、标定地价建议及结果表、标定地价信息公示表、标定地价修正体系、标准宗地与标定区域布设图及标定地价成果数据库。</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12" w:name="_Toc7950772"/>
      <w:r>
        <w:rPr>
          <w:rFonts w:hint="eastAsia" w:ascii="Times New Roman" w:hAnsi="Times New Roman" w:eastAsia="仿宋_GB2312" w:cs="Times New Roman"/>
          <w:b/>
          <w:kern w:val="0"/>
          <w:sz w:val="28"/>
          <w:szCs w:val="28"/>
        </w:rPr>
        <w:t>10</w:t>
      </w:r>
      <w:r>
        <w:rPr>
          <w:rFonts w:ascii="Times New Roman" w:hAnsi="Times New Roman" w:eastAsia="仿宋_GB2312" w:cs="Times New Roman"/>
          <w:b/>
          <w:kern w:val="0"/>
          <w:sz w:val="28"/>
          <w:szCs w:val="28"/>
        </w:rPr>
        <w:t>、建立评估成果质量的控制管理制度</w:t>
      </w:r>
      <w:bookmarkEnd w:id="12"/>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建立评估成果质量的控制管理制度，保证结果的客观、合理。需要时组织征询专业人员意见。</w:t>
      </w: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13" w:name="_Toc61275801"/>
      <w:r>
        <w:rPr>
          <w:rFonts w:hint="eastAsia" w:ascii="Times New Roman" w:hAnsi="Times New Roman" w:eastAsia="仿宋_GB2312" w:cs="Times New Roman"/>
          <w:b/>
          <w:kern w:val="0"/>
          <w:sz w:val="30"/>
          <w:szCs w:val="30"/>
        </w:rPr>
        <w:t>二、</w:t>
      </w:r>
      <w:r>
        <w:rPr>
          <w:rFonts w:ascii="Times New Roman" w:hAnsi="Times New Roman" w:eastAsia="仿宋_GB2312" w:cs="Times New Roman"/>
          <w:b/>
          <w:kern w:val="0"/>
          <w:sz w:val="30"/>
          <w:szCs w:val="30"/>
        </w:rPr>
        <w:t>工作进度</w:t>
      </w:r>
      <w:bookmarkEnd w:id="13"/>
    </w:p>
    <w:p>
      <w:pPr>
        <w:pStyle w:val="2"/>
        <w:rPr>
          <w:rFonts w:ascii="仿宋" w:hAnsi="仿宋" w:eastAsia="仿宋"/>
          <w:sz w:val="28"/>
        </w:rPr>
      </w:pPr>
      <w:bookmarkStart w:id="14" w:name="_Toc61275802"/>
      <w:r>
        <w:rPr>
          <w:rFonts w:hint="eastAsia" w:ascii="仿宋" w:hAnsi="仿宋" w:eastAsia="仿宋"/>
          <w:sz w:val="28"/>
        </w:rPr>
        <w:t>（一）准备工作阶段</w:t>
      </w:r>
      <w:bookmarkEnd w:id="14"/>
    </w:p>
    <w:p>
      <w:pPr>
        <w:pStyle w:val="20"/>
        <w:spacing w:line="360" w:lineRule="auto"/>
        <w:ind w:left="136"/>
        <w:outlineLvl w:val="9"/>
        <w:rPr>
          <w:rFonts w:ascii="仿宋" w:hAnsi="仿宋" w:eastAsia="仿宋"/>
          <w:sz w:val="28"/>
          <w:lang w:eastAsia="zh-CN"/>
        </w:rPr>
      </w:pPr>
      <w:bookmarkStart w:id="15" w:name="_Toc56952437"/>
      <w:bookmarkStart w:id="16" w:name="_Toc61275803"/>
      <w:bookmarkStart w:id="17" w:name="_Toc45964075"/>
      <w:bookmarkStart w:id="18" w:name="_Toc45121057"/>
      <w:bookmarkStart w:id="19" w:name="_Toc56777482"/>
      <w:bookmarkStart w:id="20" w:name="_Toc56777391"/>
      <w:bookmarkStart w:id="21" w:name="_Toc56777261"/>
      <w:r>
        <w:rPr>
          <w:rFonts w:hint="eastAsia" w:ascii="仿宋" w:hAnsi="仿宋" w:eastAsia="仿宋"/>
          <w:sz w:val="28"/>
          <w:lang w:eastAsia="zh-CN"/>
        </w:rPr>
        <w:t>1、时间安排</w:t>
      </w:r>
      <w:bookmarkEnd w:id="15"/>
      <w:bookmarkEnd w:id="16"/>
      <w:bookmarkEnd w:id="17"/>
      <w:bookmarkEnd w:id="18"/>
      <w:bookmarkEnd w:id="19"/>
      <w:bookmarkEnd w:id="20"/>
      <w:bookmarkEnd w:id="21"/>
    </w:p>
    <w:p>
      <w:pPr>
        <w:spacing w:line="360" w:lineRule="auto"/>
        <w:ind w:firstLine="556" w:firstLineChars="200"/>
        <w:rPr>
          <w:rFonts w:ascii="仿宋" w:hAnsi="仿宋" w:eastAsia="仿宋"/>
          <w:spacing w:val="-1"/>
          <w:sz w:val="28"/>
          <w:szCs w:val="28"/>
        </w:rPr>
      </w:pPr>
      <w:bookmarkStart w:id="22" w:name="_Toc45121058"/>
      <w:bookmarkStart w:id="23" w:name="_Toc45964076"/>
      <w:r>
        <w:rPr>
          <w:rFonts w:hint="eastAsia" w:ascii="仿宋" w:hAnsi="仿宋" w:eastAsia="仿宋"/>
          <w:spacing w:val="-1"/>
          <w:sz w:val="28"/>
          <w:szCs w:val="28"/>
        </w:rPr>
        <w:t>2020年6月初至2020年</w:t>
      </w:r>
      <w:bookmarkEnd w:id="22"/>
      <w:bookmarkEnd w:id="23"/>
      <w:r>
        <w:rPr>
          <w:rFonts w:hint="eastAsia" w:ascii="仿宋" w:hAnsi="仿宋" w:eastAsia="仿宋"/>
          <w:spacing w:val="-1"/>
          <w:sz w:val="28"/>
          <w:szCs w:val="28"/>
        </w:rPr>
        <w:t>6月末</w:t>
      </w:r>
    </w:p>
    <w:p>
      <w:pPr>
        <w:pStyle w:val="20"/>
        <w:spacing w:line="360" w:lineRule="auto"/>
        <w:ind w:left="136"/>
        <w:outlineLvl w:val="9"/>
        <w:rPr>
          <w:rFonts w:ascii="仿宋" w:hAnsi="仿宋" w:eastAsia="仿宋"/>
          <w:sz w:val="28"/>
          <w:lang w:eastAsia="zh-CN"/>
        </w:rPr>
      </w:pPr>
      <w:bookmarkStart w:id="24" w:name="_Toc45964077"/>
      <w:bookmarkStart w:id="25" w:name="_Toc61275804"/>
      <w:bookmarkStart w:id="26" w:name="_Toc45121059"/>
      <w:bookmarkStart w:id="27" w:name="_Toc56952438"/>
      <w:bookmarkStart w:id="28" w:name="_Toc56777483"/>
      <w:bookmarkStart w:id="29" w:name="_Toc56777392"/>
      <w:bookmarkStart w:id="30" w:name="_Toc56777262"/>
      <w:r>
        <w:rPr>
          <w:rFonts w:hint="eastAsia" w:ascii="仿宋" w:hAnsi="仿宋" w:eastAsia="仿宋"/>
          <w:sz w:val="28"/>
          <w:lang w:eastAsia="zh-CN"/>
        </w:rPr>
        <w:t>2、阶段工作内容</w:t>
      </w:r>
      <w:bookmarkEnd w:id="24"/>
      <w:bookmarkEnd w:id="25"/>
      <w:bookmarkEnd w:id="26"/>
      <w:bookmarkEnd w:id="27"/>
      <w:bookmarkEnd w:id="28"/>
      <w:bookmarkEnd w:id="29"/>
      <w:bookmarkEnd w:id="30"/>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（1）成立项目小组</w:t>
      </w:r>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我公司对项目工作目标进行了初步分解，在公司内部组建起</w:t>
      </w:r>
      <w:r>
        <w:rPr>
          <w:rFonts w:hint="eastAsia" w:ascii="仿宋" w:hAnsi="仿宋" w:eastAsia="仿宋"/>
          <w:spacing w:val="-1"/>
          <w:sz w:val="28"/>
          <w:szCs w:val="28"/>
        </w:rPr>
        <w:t>和平县</w:t>
      </w:r>
      <w:r>
        <w:rPr>
          <w:rFonts w:ascii="仿宋" w:hAnsi="仿宋" w:eastAsia="仿宋"/>
          <w:spacing w:val="-1"/>
          <w:sz w:val="28"/>
          <w:szCs w:val="28"/>
        </w:rPr>
        <w:t>城镇国有建设用地标定地价评估项目组，落实人员分工及职责。</w:t>
      </w:r>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（2）撰写工作方案</w:t>
      </w:r>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为保证项目的顺利进行，项目小组根据</w:t>
      </w:r>
      <w:r>
        <w:rPr>
          <w:rFonts w:hint="eastAsia" w:ascii="仿宋" w:hAnsi="仿宋" w:eastAsia="仿宋"/>
          <w:spacing w:val="-1"/>
          <w:sz w:val="28"/>
          <w:szCs w:val="28"/>
        </w:rPr>
        <w:t>和平县</w:t>
      </w:r>
      <w:r>
        <w:rPr>
          <w:rFonts w:ascii="仿宋" w:hAnsi="仿宋" w:eastAsia="仿宋"/>
          <w:spacing w:val="-1"/>
          <w:sz w:val="28"/>
          <w:szCs w:val="28"/>
        </w:rPr>
        <w:t>的实际情况，结合国有建设用地标定地价评估需求，制订了《</w:t>
      </w:r>
      <w:r>
        <w:rPr>
          <w:rFonts w:hint="eastAsia" w:ascii="仿宋" w:hAnsi="仿宋" w:eastAsia="仿宋"/>
          <w:spacing w:val="-1"/>
          <w:sz w:val="28"/>
          <w:szCs w:val="28"/>
        </w:rPr>
        <w:t>和平县2020</w:t>
      </w:r>
      <w:r>
        <w:rPr>
          <w:rFonts w:ascii="仿宋" w:hAnsi="仿宋" w:eastAsia="仿宋"/>
          <w:spacing w:val="-1"/>
          <w:sz w:val="28"/>
          <w:szCs w:val="28"/>
        </w:rPr>
        <w:t>城镇国有建设用地标定地价</w:t>
      </w:r>
      <w:r>
        <w:rPr>
          <w:rFonts w:hint="eastAsia" w:ascii="仿宋" w:hAnsi="仿宋" w:eastAsia="仿宋"/>
          <w:spacing w:val="-1"/>
          <w:sz w:val="28"/>
          <w:szCs w:val="28"/>
        </w:rPr>
        <w:t>体系</w:t>
      </w:r>
      <w:r>
        <w:rPr>
          <w:rFonts w:ascii="仿宋" w:hAnsi="仿宋" w:eastAsia="仿宋"/>
          <w:spacing w:val="-1"/>
          <w:sz w:val="28"/>
          <w:szCs w:val="28"/>
        </w:rPr>
        <w:t>建设项目工作方案》。</w:t>
      </w:r>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（3）组织培训</w:t>
      </w:r>
    </w:p>
    <w:p>
      <w:pPr>
        <w:adjustRightInd w:val="0"/>
        <w:snapToGrid w:val="0"/>
        <w:spacing w:line="360" w:lineRule="auto"/>
        <w:ind w:firstLine="556" w:firstLineChars="200"/>
        <w:rPr>
          <w:rFonts w:ascii="仿宋" w:hAnsi="仿宋" w:eastAsia="仿宋"/>
          <w:spacing w:val="-1"/>
          <w:sz w:val="28"/>
          <w:szCs w:val="28"/>
        </w:rPr>
      </w:pPr>
      <w:r>
        <w:rPr>
          <w:rFonts w:ascii="仿宋" w:hAnsi="仿宋" w:eastAsia="仿宋"/>
          <w:spacing w:val="-1"/>
          <w:sz w:val="28"/>
          <w:szCs w:val="28"/>
        </w:rPr>
        <w:t>组织资料调查及内业处理的工作人员，开展培训，每位工作人员必须明确需要调查</w:t>
      </w:r>
      <w:r>
        <w:rPr>
          <w:rFonts w:ascii="仿宋" w:hAnsi="仿宋" w:eastAsia="仿宋"/>
          <w:bCs/>
          <w:spacing w:val="-1"/>
          <w:sz w:val="28"/>
          <w:szCs w:val="28"/>
        </w:rPr>
        <w:t>内容、调查方式以及各调查表的要求，同时按区域分组，落实各区域的调查任务。</w:t>
      </w:r>
    </w:p>
    <w:p>
      <w:pPr>
        <w:pStyle w:val="2"/>
        <w:rPr>
          <w:rFonts w:ascii="仿宋" w:hAnsi="仿宋" w:eastAsia="仿宋"/>
          <w:sz w:val="28"/>
        </w:rPr>
      </w:pPr>
      <w:bookmarkStart w:id="31" w:name="_Toc61275805"/>
      <w:r>
        <w:rPr>
          <w:rFonts w:hint="eastAsia" w:ascii="仿宋" w:hAnsi="仿宋" w:eastAsia="仿宋"/>
          <w:sz w:val="28"/>
        </w:rPr>
        <w:t>（二）资料收集与整理阶段</w:t>
      </w:r>
      <w:bookmarkEnd w:id="31"/>
    </w:p>
    <w:p>
      <w:pPr>
        <w:pStyle w:val="20"/>
        <w:spacing w:line="360" w:lineRule="auto"/>
        <w:ind w:left="136"/>
        <w:outlineLvl w:val="9"/>
        <w:rPr>
          <w:rFonts w:ascii="仿宋" w:hAnsi="仿宋" w:eastAsia="仿宋"/>
          <w:sz w:val="28"/>
          <w:szCs w:val="28"/>
          <w:lang w:eastAsia="zh-CN"/>
        </w:rPr>
      </w:pPr>
      <w:bookmarkStart w:id="32" w:name="_Toc45121067"/>
      <w:bookmarkStart w:id="33" w:name="_Toc61275806"/>
      <w:bookmarkStart w:id="34" w:name="_Toc56777393"/>
      <w:bookmarkStart w:id="35" w:name="_Toc56777484"/>
      <w:bookmarkStart w:id="36" w:name="_Toc45964085"/>
      <w:bookmarkStart w:id="37" w:name="_Toc56777263"/>
      <w:bookmarkStart w:id="38" w:name="_Toc56952439"/>
      <w:r>
        <w:rPr>
          <w:rFonts w:hint="eastAsia" w:ascii="仿宋" w:hAnsi="仿宋" w:eastAsia="仿宋"/>
          <w:sz w:val="28"/>
          <w:szCs w:val="28"/>
          <w:lang w:eastAsia="zh-CN"/>
        </w:rPr>
        <w:t>1、时间安排</w:t>
      </w:r>
      <w:bookmarkEnd w:id="32"/>
      <w:bookmarkEnd w:id="33"/>
      <w:bookmarkEnd w:id="34"/>
      <w:bookmarkEnd w:id="35"/>
      <w:bookmarkEnd w:id="36"/>
      <w:bookmarkEnd w:id="37"/>
      <w:bookmarkEnd w:id="38"/>
    </w:p>
    <w:p>
      <w:pPr>
        <w:pStyle w:val="20"/>
        <w:spacing w:line="360" w:lineRule="auto"/>
        <w:ind w:left="130" w:leftChars="62" w:firstLine="544" w:firstLineChars="196"/>
        <w:outlineLvl w:val="9"/>
        <w:rPr>
          <w:rFonts w:ascii="仿宋" w:hAnsi="仿宋" w:eastAsia="仿宋"/>
          <w:b w:val="0"/>
          <w:bCs w:val="0"/>
          <w:spacing w:val="-1"/>
          <w:sz w:val="28"/>
          <w:szCs w:val="28"/>
          <w:lang w:eastAsia="zh-CN"/>
        </w:rPr>
      </w:pPr>
      <w:bookmarkStart w:id="39" w:name="_Toc45121068"/>
      <w:bookmarkStart w:id="40" w:name="_Toc45964086"/>
      <w:bookmarkStart w:id="41" w:name="_Toc56777264"/>
      <w:bookmarkStart w:id="42" w:name="_Toc56952440"/>
      <w:bookmarkStart w:id="43" w:name="_Toc56777485"/>
      <w:bookmarkStart w:id="44" w:name="_Toc61275807"/>
      <w:bookmarkStart w:id="45" w:name="_Toc56777394"/>
      <w:r>
        <w:rPr>
          <w:rFonts w:hint="eastAsia" w:ascii="仿宋" w:hAnsi="仿宋" w:eastAsia="仿宋"/>
          <w:b w:val="0"/>
          <w:bCs w:val="0"/>
          <w:spacing w:val="-1"/>
          <w:sz w:val="28"/>
          <w:szCs w:val="28"/>
          <w:lang w:eastAsia="zh-CN"/>
        </w:rPr>
        <w:t>2020年7月初至2020年7月</w:t>
      </w:r>
      <w:bookmarkEnd w:id="39"/>
      <w:bookmarkEnd w:id="40"/>
      <w:r>
        <w:rPr>
          <w:rFonts w:hint="eastAsia" w:ascii="仿宋" w:hAnsi="仿宋" w:eastAsia="仿宋"/>
          <w:b w:val="0"/>
          <w:bCs w:val="0"/>
          <w:spacing w:val="-1"/>
          <w:sz w:val="28"/>
          <w:szCs w:val="28"/>
          <w:lang w:eastAsia="zh-CN"/>
        </w:rPr>
        <w:t>末</w:t>
      </w:r>
      <w:bookmarkEnd w:id="41"/>
      <w:bookmarkEnd w:id="42"/>
      <w:bookmarkEnd w:id="43"/>
      <w:bookmarkEnd w:id="44"/>
      <w:bookmarkEnd w:id="45"/>
    </w:p>
    <w:p>
      <w:pPr>
        <w:pStyle w:val="20"/>
        <w:spacing w:line="360" w:lineRule="auto"/>
        <w:ind w:left="136"/>
        <w:outlineLvl w:val="9"/>
        <w:rPr>
          <w:rFonts w:ascii="仿宋" w:hAnsi="仿宋" w:eastAsia="仿宋"/>
          <w:sz w:val="28"/>
          <w:szCs w:val="28"/>
          <w:lang w:eastAsia="zh-CN"/>
        </w:rPr>
      </w:pPr>
      <w:bookmarkStart w:id="46" w:name="_Toc45121069"/>
      <w:bookmarkStart w:id="47" w:name="_Toc56777486"/>
      <w:bookmarkStart w:id="48" w:name="_Toc56777265"/>
      <w:bookmarkStart w:id="49" w:name="_Toc61275808"/>
      <w:bookmarkStart w:id="50" w:name="_Toc45964087"/>
      <w:bookmarkStart w:id="51" w:name="_Toc56952441"/>
      <w:bookmarkStart w:id="52" w:name="_Toc56777395"/>
      <w:r>
        <w:rPr>
          <w:rFonts w:hint="eastAsia" w:ascii="仿宋" w:hAnsi="仿宋" w:eastAsia="仿宋"/>
          <w:sz w:val="28"/>
          <w:szCs w:val="28"/>
          <w:lang w:eastAsia="zh-CN"/>
        </w:rPr>
        <w:t>2、阶段工作内容</w:t>
      </w:r>
      <w:bookmarkEnd w:id="46"/>
      <w:bookmarkEnd w:id="47"/>
      <w:bookmarkEnd w:id="48"/>
      <w:bookmarkEnd w:id="49"/>
      <w:bookmarkEnd w:id="50"/>
      <w:bookmarkEnd w:id="51"/>
      <w:bookmarkEnd w:id="52"/>
    </w:p>
    <w:p>
      <w:pPr>
        <w:adjustRightInd w:val="0"/>
        <w:snapToGrid w:val="0"/>
        <w:spacing w:line="360" w:lineRule="auto"/>
        <w:ind w:firstLine="560" w:firstLineChars="200"/>
        <w:rPr>
          <w:rFonts w:ascii="Times New Roman" w:hAnsi="Times New Roman" w:eastAsia="仿宋_GB2312" w:cs="Times New Roman"/>
          <w:kern w:val="0"/>
          <w:sz w:val="28"/>
        </w:rPr>
      </w:pPr>
      <w:r>
        <w:rPr>
          <w:rFonts w:ascii="Times New Roman" w:hAnsi="Times New Roman" w:eastAsia="仿宋_GB2312" w:cs="Times New Roman"/>
          <w:kern w:val="0"/>
          <w:sz w:val="28"/>
          <w:szCs w:val="28"/>
        </w:rPr>
        <w:t>资料收集工作，是确定标定地价公示范围、划定标定区域以及布设标准宗地的基础。包括各种市场交易资料、税费资料、有关指标参数的调查。如临街铺面外业调查资料、房屋租赁、商品房和二手房买卖、厂房租赁、土地开发、房屋建造成本、房地产税费名目、历史地价资料等和标准宗地相关资料等。项目工作小组根据项目工作需要，编制了项目资料清单《</w:t>
      </w:r>
      <w:r>
        <w:rPr>
          <w:rFonts w:hint="eastAsia" w:ascii="Times New Roman" w:hAnsi="Times New Roman" w:eastAsia="仿宋_GB2312" w:cs="Times New Roman"/>
          <w:kern w:val="0"/>
          <w:sz w:val="28"/>
          <w:szCs w:val="28"/>
        </w:rPr>
        <w:t>和平县</w:t>
      </w:r>
      <w:r>
        <w:rPr>
          <w:rFonts w:ascii="Times New Roman" w:hAnsi="Times New Roman" w:eastAsia="仿宋_GB2312" w:cs="Times New Roman"/>
          <w:kern w:val="0"/>
          <w:sz w:val="28"/>
          <w:szCs w:val="28"/>
        </w:rPr>
        <w:t>城镇国有建设用地标定地价评估项目资料清单》，并提供给</w:t>
      </w:r>
      <w:r>
        <w:rPr>
          <w:rFonts w:hint="eastAsia" w:ascii="Times New Roman" w:hAnsi="Times New Roman" w:eastAsia="仿宋_GB2312" w:cs="Times New Roman"/>
          <w:kern w:val="0"/>
          <w:sz w:val="28"/>
          <w:szCs w:val="28"/>
        </w:rPr>
        <w:t>和平县自然资源局</w:t>
      </w:r>
      <w:r>
        <w:rPr>
          <w:rFonts w:ascii="Times New Roman" w:hAnsi="Times New Roman" w:eastAsia="仿宋_GB2312" w:cs="Times New Roman"/>
          <w:kern w:val="0"/>
          <w:sz w:val="28"/>
          <w:szCs w:val="28"/>
        </w:rPr>
        <w:t>以协助收集相关资料。</w:t>
      </w:r>
    </w:p>
    <w:p>
      <w:pPr>
        <w:jc w:val="center"/>
        <w:rPr>
          <w:rFonts w:ascii="仿宋" w:hAnsi="仿宋" w:eastAsia="仿宋"/>
          <w:b/>
          <w:sz w:val="24"/>
          <w:szCs w:val="24"/>
        </w:rPr>
      </w:pPr>
    </w:p>
    <w:p>
      <w:pPr>
        <w:jc w:val="center"/>
        <w:rPr>
          <w:rFonts w:ascii="仿宋" w:hAnsi="仿宋" w:eastAsia="仿宋"/>
          <w:b/>
          <w:sz w:val="24"/>
          <w:szCs w:val="24"/>
        </w:rPr>
      </w:pPr>
      <w:r>
        <w:rPr>
          <w:rFonts w:hint="eastAsia" w:ascii="仿宋" w:hAnsi="仿宋" w:eastAsia="仿宋"/>
          <w:b/>
          <w:sz w:val="24"/>
          <w:szCs w:val="24"/>
        </w:rPr>
        <w:t>表2-1部门资料收集统计表</w:t>
      </w:r>
    </w:p>
    <w:tbl>
      <w:tblPr>
        <w:tblStyle w:val="12"/>
        <w:tblW w:w="8522" w:type="dxa"/>
        <w:tblInd w:w="0" w:type="dxa"/>
        <w:tblLayout w:type="fixed"/>
        <w:tblCellMar>
          <w:top w:w="0" w:type="dxa"/>
          <w:left w:w="108" w:type="dxa"/>
          <w:bottom w:w="0" w:type="dxa"/>
          <w:right w:w="108" w:type="dxa"/>
        </w:tblCellMar>
      </w:tblPr>
      <w:tblGrid>
        <w:gridCol w:w="816"/>
        <w:gridCol w:w="1558"/>
        <w:gridCol w:w="3404"/>
        <w:gridCol w:w="2744"/>
      </w:tblGrid>
      <w:tr>
        <w:tblPrEx>
          <w:tblLayout w:type="fixed"/>
          <w:tblCellMar>
            <w:top w:w="0" w:type="dxa"/>
            <w:left w:w="108" w:type="dxa"/>
            <w:bottom w:w="0" w:type="dxa"/>
            <w:right w:w="108" w:type="dxa"/>
          </w:tblCellMar>
        </w:tblPrEx>
        <w:trPr>
          <w:trHeight w:val="285" w:hRule="atLeast"/>
        </w:trPr>
        <w:tc>
          <w:tcPr>
            <w:tcW w:w="8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序号</w:t>
            </w:r>
          </w:p>
        </w:tc>
        <w:tc>
          <w:tcPr>
            <w:tcW w:w="155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部门</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资料内容</w:t>
            </w:r>
          </w:p>
        </w:tc>
        <w:tc>
          <w:tcPr>
            <w:tcW w:w="274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用途</w:t>
            </w:r>
          </w:p>
        </w:tc>
      </w:tr>
      <w:tr>
        <w:tblPrEx>
          <w:tblLayout w:type="fixed"/>
          <w:tblCellMar>
            <w:top w:w="0" w:type="dxa"/>
            <w:left w:w="108" w:type="dxa"/>
            <w:bottom w:w="0" w:type="dxa"/>
            <w:right w:w="108" w:type="dxa"/>
          </w:tblCellMar>
        </w:tblPrEx>
        <w:trPr>
          <w:trHeight w:val="825" w:hRule="atLeast"/>
        </w:trPr>
        <w:tc>
          <w:tcPr>
            <w:tcW w:w="81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1</w:t>
            </w:r>
          </w:p>
        </w:tc>
        <w:tc>
          <w:tcPr>
            <w:tcW w:w="155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和平县自然资源</w:t>
            </w:r>
            <w:r>
              <w:rPr>
                <w:rFonts w:ascii="仿宋" w:hAnsi="仿宋" w:eastAsia="仿宋" w:cs="宋体"/>
                <w:b/>
                <w:bCs/>
                <w:color w:val="000000"/>
                <w:szCs w:val="24"/>
              </w:rPr>
              <w:t>局</w:t>
            </w: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2010-2018和平县土地交易（出让、划拨、租赁）用地供应清单及交易合同、土地证、宗地图等资料</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布设各用途标准宗地</w:t>
            </w:r>
          </w:p>
        </w:tc>
      </w:tr>
      <w:tr>
        <w:tblPrEx>
          <w:tblLayout w:type="fixed"/>
          <w:tblCellMar>
            <w:top w:w="0" w:type="dxa"/>
            <w:left w:w="108" w:type="dxa"/>
            <w:bottom w:w="0" w:type="dxa"/>
            <w:right w:w="108" w:type="dxa"/>
          </w:tblCellMar>
        </w:tblPrEx>
        <w:trPr>
          <w:trHeight w:val="55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和平县最新相关国土管理政策文件汇编</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测算标准宗地和撰写报告时需用</w:t>
            </w:r>
          </w:p>
        </w:tc>
      </w:tr>
      <w:tr>
        <w:tblPrEx>
          <w:tblLayout w:type="fixed"/>
          <w:tblCellMar>
            <w:top w:w="0" w:type="dxa"/>
            <w:left w:w="108" w:type="dxa"/>
            <w:bottom w:w="0" w:type="dxa"/>
            <w:right w:w="108" w:type="dxa"/>
          </w:tblCellMar>
        </w:tblPrEx>
        <w:trPr>
          <w:trHeight w:val="55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和平县最新土地利用变更调查成果</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划分各用途标定区域</w:t>
            </w:r>
          </w:p>
        </w:tc>
      </w:tr>
      <w:tr>
        <w:tblPrEx>
          <w:tblLayout w:type="fixed"/>
          <w:tblCellMar>
            <w:top w:w="0" w:type="dxa"/>
            <w:left w:w="108" w:type="dxa"/>
            <w:bottom w:w="0" w:type="dxa"/>
            <w:right w:w="108" w:type="dxa"/>
          </w:tblCellMar>
        </w:tblPrEx>
        <w:trPr>
          <w:trHeight w:val="55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评估范围内土地利用现状图、地籍图、宗地红线图等</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布设各用途标准宗地</w:t>
            </w:r>
          </w:p>
        </w:tc>
      </w:tr>
      <w:tr>
        <w:tblPrEx>
          <w:tblLayout w:type="fixed"/>
          <w:tblCellMar>
            <w:top w:w="0" w:type="dxa"/>
            <w:left w:w="108" w:type="dxa"/>
            <w:bottom w:w="0" w:type="dxa"/>
            <w:right w:w="108" w:type="dxa"/>
          </w:tblCellMar>
        </w:tblPrEx>
        <w:trPr>
          <w:trHeight w:val="55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和平县拆迁补偿政策规定及补偿标准文件</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测算标准宗地时需用</w:t>
            </w:r>
          </w:p>
        </w:tc>
      </w:tr>
      <w:tr>
        <w:tblPrEx>
          <w:tblLayout w:type="fixed"/>
          <w:tblCellMar>
            <w:top w:w="0" w:type="dxa"/>
            <w:left w:w="108" w:type="dxa"/>
            <w:bottom w:w="0" w:type="dxa"/>
            <w:right w:w="108" w:type="dxa"/>
          </w:tblCellMar>
        </w:tblPrEx>
        <w:trPr>
          <w:trHeight w:val="31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和平县现行《土地利用总体规划》</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布设各用途标准宗地</w:t>
            </w:r>
          </w:p>
        </w:tc>
      </w:tr>
      <w:tr>
        <w:tblPrEx>
          <w:tblLayout w:type="fixed"/>
          <w:tblCellMar>
            <w:top w:w="0" w:type="dxa"/>
            <w:left w:w="108" w:type="dxa"/>
            <w:bottom w:w="0" w:type="dxa"/>
            <w:right w:w="108" w:type="dxa"/>
          </w:tblCellMar>
        </w:tblPrEx>
        <w:trPr>
          <w:trHeight w:val="55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控制性规划图（控制性规划导则、道路红线图）</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布设各用途标准宗地</w:t>
            </w:r>
          </w:p>
        </w:tc>
      </w:tr>
      <w:tr>
        <w:tblPrEx>
          <w:tblLayout w:type="fixed"/>
          <w:tblCellMar>
            <w:top w:w="0" w:type="dxa"/>
            <w:left w:w="108" w:type="dxa"/>
            <w:bottom w:w="0" w:type="dxa"/>
            <w:right w:w="108" w:type="dxa"/>
          </w:tblCellMar>
        </w:tblPrEx>
        <w:trPr>
          <w:trHeight w:val="315"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标准宗地的规划条件资料</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用于确定标准宗地后、测算该宗地所需要的规划资料</w:t>
            </w:r>
          </w:p>
        </w:tc>
      </w:tr>
      <w:tr>
        <w:tblPrEx>
          <w:tblLayout w:type="fixed"/>
          <w:tblCellMar>
            <w:top w:w="0" w:type="dxa"/>
            <w:left w:w="108" w:type="dxa"/>
            <w:bottom w:w="0" w:type="dxa"/>
            <w:right w:w="108" w:type="dxa"/>
          </w:tblCellMar>
        </w:tblPrEx>
        <w:trPr>
          <w:trHeight w:val="1890" w:hRule="atLeast"/>
        </w:trPr>
        <w:tc>
          <w:tcPr>
            <w:tcW w:w="81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2</w:t>
            </w:r>
          </w:p>
        </w:tc>
        <w:tc>
          <w:tcPr>
            <w:tcW w:w="15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和平县住房和城乡建设局</w:t>
            </w: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2016-2019年和平县房产交易（新建商品房交易登记备案、存量房交易登记）个案统计表或数据库（部分字段，主要字段包括权属人名称、房屋座落、建筑结构、所在楼层、建筑面积、套内面积、房屋用途、交易总价、交易时间、总楼层数、建筑年代等）</w:t>
            </w:r>
          </w:p>
        </w:tc>
        <w:tc>
          <w:tcPr>
            <w:tcW w:w="274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划分商服、住宅、工业用途标定区域、布设商服、住宅、工业用途标准宗地</w:t>
            </w:r>
          </w:p>
        </w:tc>
      </w:tr>
      <w:tr>
        <w:tblPrEx>
          <w:tblLayout w:type="fixed"/>
          <w:tblCellMar>
            <w:top w:w="0" w:type="dxa"/>
            <w:left w:w="108" w:type="dxa"/>
            <w:bottom w:w="0" w:type="dxa"/>
            <w:right w:w="108" w:type="dxa"/>
          </w:tblCellMar>
        </w:tblPrEx>
        <w:trPr>
          <w:trHeight w:val="1890"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2015-2018年和平县房屋租赁备案数据，字段包括权属人名称、物业名称、座落位置、建筑面积、房屋使用用途、类别（国有/集体、住宅/非住宅）、租金(租金填写须注明币种以及租金按月或季或年结算)、租赁期限、出租面积、楼栋性质等</w:t>
            </w:r>
          </w:p>
        </w:tc>
        <w:tc>
          <w:tcPr>
            <w:tcW w:w="274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划分商服、住宅、工业用途标定区域、布设商服、住宅、工业用途标准宗地</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1558"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b/>
                <w:bCs/>
                <w:color w:val="000000"/>
                <w:szCs w:val="24"/>
              </w:rPr>
            </w:pPr>
          </w:p>
        </w:tc>
        <w:tc>
          <w:tcPr>
            <w:tcW w:w="340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和平县相关房地产管理政策文本</w:t>
            </w:r>
          </w:p>
        </w:tc>
        <w:tc>
          <w:tcPr>
            <w:tcW w:w="2744"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测算标准宗地和撰写报告时需用</w:t>
            </w:r>
          </w:p>
        </w:tc>
      </w:tr>
    </w:tbl>
    <w:p>
      <w:pPr>
        <w:pStyle w:val="2"/>
        <w:rPr>
          <w:rFonts w:ascii="仿宋" w:hAnsi="仿宋" w:eastAsia="仿宋"/>
          <w:sz w:val="28"/>
        </w:rPr>
      </w:pPr>
      <w:bookmarkStart w:id="53" w:name="_Toc61275809"/>
      <w:r>
        <w:rPr>
          <w:rFonts w:hint="eastAsia" w:ascii="仿宋" w:hAnsi="仿宋" w:eastAsia="仿宋"/>
          <w:sz w:val="28"/>
        </w:rPr>
        <w:t>（三）确定标定地价公示范围阶段</w:t>
      </w:r>
      <w:bookmarkEnd w:id="53"/>
    </w:p>
    <w:p>
      <w:pPr>
        <w:pStyle w:val="20"/>
        <w:spacing w:line="360" w:lineRule="auto"/>
        <w:ind w:left="136"/>
        <w:outlineLvl w:val="9"/>
        <w:rPr>
          <w:rFonts w:ascii="仿宋" w:hAnsi="仿宋" w:eastAsia="仿宋"/>
          <w:sz w:val="28"/>
          <w:szCs w:val="24"/>
          <w:lang w:eastAsia="zh-CN"/>
        </w:rPr>
      </w:pPr>
      <w:bookmarkStart w:id="54" w:name="_Toc45121076"/>
      <w:bookmarkStart w:id="55" w:name="_Toc45964094"/>
      <w:bookmarkStart w:id="56" w:name="_Toc56777266"/>
      <w:bookmarkStart w:id="57" w:name="_Toc56777396"/>
      <w:bookmarkStart w:id="58" w:name="_Toc61275810"/>
      <w:bookmarkStart w:id="59" w:name="_Toc56952442"/>
      <w:bookmarkStart w:id="60" w:name="_Toc56777487"/>
      <w:r>
        <w:rPr>
          <w:rFonts w:hint="eastAsia" w:ascii="仿宋" w:hAnsi="仿宋" w:eastAsia="仿宋"/>
          <w:sz w:val="28"/>
          <w:szCs w:val="24"/>
          <w:lang w:eastAsia="zh-CN"/>
        </w:rPr>
        <w:t>1、时间安排</w:t>
      </w:r>
      <w:bookmarkEnd w:id="54"/>
      <w:bookmarkEnd w:id="55"/>
      <w:bookmarkEnd w:id="56"/>
      <w:bookmarkEnd w:id="57"/>
      <w:bookmarkEnd w:id="58"/>
      <w:bookmarkEnd w:id="59"/>
      <w:bookmarkEnd w:id="60"/>
    </w:p>
    <w:p>
      <w:pPr>
        <w:spacing w:line="360" w:lineRule="auto"/>
        <w:ind w:firstLine="556" w:firstLineChars="200"/>
        <w:rPr>
          <w:rFonts w:ascii="仿宋" w:hAnsi="仿宋" w:eastAsia="仿宋"/>
          <w:spacing w:val="-1"/>
          <w:sz w:val="28"/>
          <w:szCs w:val="24"/>
        </w:rPr>
      </w:pPr>
      <w:bookmarkStart w:id="61" w:name="_Toc45121077"/>
      <w:bookmarkStart w:id="62" w:name="_Toc45964095"/>
      <w:r>
        <w:rPr>
          <w:rFonts w:hint="eastAsia" w:ascii="仿宋" w:hAnsi="仿宋" w:eastAsia="仿宋"/>
          <w:spacing w:val="-1"/>
          <w:sz w:val="28"/>
          <w:szCs w:val="24"/>
        </w:rPr>
        <w:t>2020年8月初至2020年8月</w:t>
      </w:r>
      <w:bookmarkEnd w:id="61"/>
      <w:bookmarkEnd w:id="62"/>
      <w:r>
        <w:rPr>
          <w:rFonts w:hint="eastAsia" w:ascii="仿宋" w:hAnsi="仿宋" w:eastAsia="仿宋"/>
          <w:spacing w:val="-1"/>
          <w:sz w:val="28"/>
          <w:szCs w:val="24"/>
        </w:rPr>
        <w:t>末</w:t>
      </w:r>
    </w:p>
    <w:p>
      <w:pPr>
        <w:pStyle w:val="20"/>
        <w:spacing w:line="360" w:lineRule="auto"/>
        <w:ind w:left="136"/>
        <w:outlineLvl w:val="9"/>
        <w:rPr>
          <w:rFonts w:ascii="仿宋" w:hAnsi="仿宋" w:eastAsia="仿宋"/>
          <w:sz w:val="28"/>
          <w:szCs w:val="24"/>
          <w:lang w:eastAsia="zh-CN"/>
        </w:rPr>
      </w:pPr>
      <w:bookmarkStart w:id="63" w:name="_Toc56777267"/>
      <w:bookmarkStart w:id="64" w:name="_Toc45121078"/>
      <w:bookmarkStart w:id="65" w:name="_Toc56777397"/>
      <w:bookmarkStart w:id="66" w:name="_Toc56777488"/>
      <w:bookmarkStart w:id="67" w:name="_Toc56952443"/>
      <w:bookmarkStart w:id="68" w:name="_Toc45964096"/>
      <w:bookmarkStart w:id="69" w:name="_Toc61275811"/>
      <w:r>
        <w:rPr>
          <w:rFonts w:ascii="仿宋" w:hAnsi="仿宋" w:eastAsia="仿宋"/>
          <w:sz w:val="28"/>
          <w:szCs w:val="24"/>
          <w:lang w:eastAsia="zh-CN"/>
        </w:rPr>
        <w:t>2.阶段工作内容</w:t>
      </w:r>
      <w:bookmarkEnd w:id="63"/>
      <w:bookmarkEnd w:id="64"/>
      <w:bookmarkEnd w:id="65"/>
      <w:bookmarkEnd w:id="66"/>
      <w:bookmarkEnd w:id="67"/>
      <w:bookmarkEnd w:id="68"/>
      <w:bookmarkEnd w:id="69"/>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根据</w:t>
      </w:r>
      <w:r>
        <w:rPr>
          <w:rFonts w:hint="eastAsia" w:ascii="仿宋" w:hAnsi="仿宋" w:eastAsia="仿宋"/>
          <w:spacing w:val="-1"/>
          <w:sz w:val="28"/>
          <w:szCs w:val="24"/>
        </w:rPr>
        <w:t>和平县</w:t>
      </w:r>
      <w:r>
        <w:rPr>
          <w:rFonts w:ascii="仿宋" w:hAnsi="仿宋" w:eastAsia="仿宋"/>
          <w:spacing w:val="-1"/>
          <w:sz w:val="28"/>
          <w:szCs w:val="24"/>
        </w:rPr>
        <w:t>市场发育程度和管理服务需求，结合城区内不同用途自身的空间分布特征，确定</w:t>
      </w:r>
      <w:r>
        <w:rPr>
          <w:rFonts w:hint="eastAsia" w:ascii="仿宋" w:hAnsi="仿宋" w:eastAsia="仿宋"/>
          <w:spacing w:val="-1"/>
          <w:sz w:val="28"/>
          <w:szCs w:val="24"/>
        </w:rPr>
        <w:t>和平县</w:t>
      </w:r>
      <w:r>
        <w:rPr>
          <w:rFonts w:ascii="仿宋" w:hAnsi="仿宋" w:eastAsia="仿宋"/>
          <w:spacing w:val="-1"/>
          <w:sz w:val="28"/>
          <w:szCs w:val="24"/>
        </w:rPr>
        <w:t>城镇国有建设用地标定地价评估项目公示范围，主要是根据</w:t>
      </w:r>
      <w:r>
        <w:rPr>
          <w:rFonts w:hint="eastAsia" w:ascii="仿宋" w:hAnsi="仿宋" w:eastAsia="仿宋"/>
          <w:spacing w:val="-1"/>
          <w:sz w:val="28"/>
          <w:szCs w:val="24"/>
        </w:rPr>
        <w:t>和平县</w:t>
      </w:r>
      <w:r>
        <w:rPr>
          <w:rFonts w:ascii="仿宋" w:hAnsi="仿宋" w:eastAsia="仿宋"/>
          <w:spacing w:val="-1"/>
          <w:sz w:val="28"/>
          <w:szCs w:val="24"/>
        </w:rPr>
        <w:t>最新城市规划确定的中心城区建成区、近期规划建设区。</w:t>
      </w:r>
    </w:p>
    <w:p>
      <w:pPr>
        <w:adjustRightInd w:val="0"/>
        <w:snapToGrid w:val="0"/>
        <w:spacing w:line="360" w:lineRule="auto"/>
        <w:ind w:firstLine="556" w:firstLineChars="200"/>
        <w:rPr>
          <w:rFonts w:ascii="仿宋" w:hAnsi="仿宋" w:eastAsia="仿宋"/>
          <w:spacing w:val="-1"/>
          <w:sz w:val="24"/>
          <w:szCs w:val="24"/>
        </w:rPr>
      </w:pPr>
      <w:r>
        <w:rPr>
          <w:rFonts w:ascii="仿宋" w:hAnsi="仿宋" w:eastAsia="仿宋"/>
          <w:spacing w:val="-1"/>
          <w:sz w:val="28"/>
          <w:szCs w:val="24"/>
        </w:rPr>
        <w:t>在工作范围的基础上，依据</w:t>
      </w:r>
      <w:r>
        <w:rPr>
          <w:rFonts w:hint="eastAsia" w:ascii="仿宋" w:hAnsi="仿宋" w:eastAsia="仿宋"/>
          <w:spacing w:val="-1"/>
          <w:sz w:val="28"/>
          <w:szCs w:val="24"/>
        </w:rPr>
        <w:t>和平县</w:t>
      </w:r>
      <w:r>
        <w:rPr>
          <w:rFonts w:ascii="仿宋" w:hAnsi="仿宋" w:eastAsia="仿宋"/>
          <w:spacing w:val="-1"/>
          <w:sz w:val="28"/>
          <w:szCs w:val="24"/>
        </w:rPr>
        <w:t>市场发育程度、政府的监管需求、应用方向、各用途土地分布的特点综合进行确定各用途标定地价公示范围。</w:t>
      </w:r>
    </w:p>
    <w:p>
      <w:pPr>
        <w:pStyle w:val="2"/>
        <w:rPr>
          <w:rFonts w:ascii="仿宋" w:hAnsi="仿宋" w:eastAsia="仿宋"/>
          <w:sz w:val="28"/>
        </w:rPr>
      </w:pPr>
      <w:bookmarkStart w:id="70" w:name="_Toc61275812"/>
      <w:r>
        <w:rPr>
          <w:rFonts w:hint="eastAsia" w:ascii="仿宋" w:hAnsi="仿宋" w:eastAsia="仿宋"/>
          <w:sz w:val="28"/>
        </w:rPr>
        <w:t>（四）划分标定区域阶段</w:t>
      </w:r>
      <w:bookmarkEnd w:id="70"/>
    </w:p>
    <w:p>
      <w:pPr>
        <w:pStyle w:val="20"/>
        <w:spacing w:line="360" w:lineRule="auto"/>
        <w:ind w:left="136"/>
        <w:outlineLvl w:val="9"/>
        <w:rPr>
          <w:rFonts w:ascii="仿宋" w:hAnsi="仿宋" w:eastAsia="仿宋"/>
          <w:sz w:val="28"/>
          <w:szCs w:val="24"/>
          <w:lang w:eastAsia="zh-CN"/>
        </w:rPr>
      </w:pPr>
      <w:bookmarkStart w:id="71" w:name="_Toc56777489"/>
      <w:bookmarkStart w:id="72" w:name="_Toc61275813"/>
      <w:bookmarkStart w:id="73" w:name="_Toc45964109"/>
      <w:bookmarkStart w:id="74" w:name="_Toc56952444"/>
      <w:bookmarkStart w:id="75" w:name="_Toc56777398"/>
      <w:bookmarkStart w:id="76" w:name="_Toc45121091"/>
      <w:bookmarkStart w:id="77" w:name="_Toc56777268"/>
      <w:r>
        <w:rPr>
          <w:rFonts w:hint="eastAsia" w:ascii="仿宋" w:hAnsi="仿宋" w:eastAsia="仿宋"/>
          <w:sz w:val="28"/>
          <w:szCs w:val="24"/>
          <w:lang w:eastAsia="zh-CN"/>
        </w:rPr>
        <w:t>1、时间安排</w:t>
      </w:r>
      <w:bookmarkEnd w:id="71"/>
      <w:bookmarkEnd w:id="72"/>
      <w:bookmarkEnd w:id="73"/>
      <w:bookmarkEnd w:id="74"/>
      <w:bookmarkEnd w:id="75"/>
      <w:bookmarkEnd w:id="76"/>
      <w:bookmarkEnd w:id="77"/>
    </w:p>
    <w:p>
      <w:pPr>
        <w:spacing w:line="360" w:lineRule="auto"/>
        <w:ind w:firstLine="556" w:firstLineChars="200"/>
        <w:rPr>
          <w:rFonts w:ascii="仿宋" w:hAnsi="仿宋" w:eastAsia="仿宋"/>
          <w:spacing w:val="-1"/>
          <w:sz w:val="28"/>
          <w:szCs w:val="24"/>
        </w:rPr>
      </w:pPr>
      <w:bookmarkStart w:id="78" w:name="_Toc45121092"/>
      <w:bookmarkStart w:id="79" w:name="_Toc45964110"/>
      <w:r>
        <w:rPr>
          <w:rFonts w:hint="eastAsia" w:ascii="仿宋" w:hAnsi="仿宋" w:eastAsia="仿宋"/>
          <w:spacing w:val="-1"/>
          <w:sz w:val="28"/>
          <w:szCs w:val="24"/>
        </w:rPr>
        <w:t>2020年9月初至2020年9月中</w:t>
      </w:r>
      <w:bookmarkEnd w:id="78"/>
      <w:bookmarkEnd w:id="79"/>
    </w:p>
    <w:p>
      <w:pPr>
        <w:pStyle w:val="20"/>
        <w:spacing w:line="360" w:lineRule="auto"/>
        <w:ind w:left="136"/>
        <w:outlineLvl w:val="9"/>
        <w:rPr>
          <w:rFonts w:ascii="仿宋" w:hAnsi="仿宋" w:eastAsia="仿宋"/>
          <w:sz w:val="28"/>
          <w:szCs w:val="24"/>
          <w:lang w:eastAsia="zh-CN"/>
        </w:rPr>
      </w:pPr>
      <w:bookmarkStart w:id="80" w:name="_Toc45964111"/>
      <w:bookmarkStart w:id="81" w:name="_Toc45121093"/>
      <w:bookmarkStart w:id="82" w:name="_Toc61275814"/>
      <w:bookmarkStart w:id="83" w:name="_Toc56777399"/>
      <w:bookmarkStart w:id="84" w:name="_Toc56777490"/>
      <w:bookmarkStart w:id="85" w:name="_Toc56952445"/>
      <w:bookmarkStart w:id="86" w:name="_Toc56777269"/>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80"/>
      <w:bookmarkEnd w:id="81"/>
      <w:bookmarkEnd w:id="82"/>
      <w:bookmarkEnd w:id="83"/>
      <w:bookmarkEnd w:id="84"/>
      <w:bookmarkEnd w:id="85"/>
      <w:bookmarkEnd w:id="86"/>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（1）初步划分标定区域</w:t>
      </w:r>
    </w:p>
    <w:p>
      <w:pPr>
        <w:adjustRightInd w:val="0"/>
        <w:snapToGrid w:val="0"/>
        <w:spacing w:line="360" w:lineRule="auto"/>
        <w:ind w:firstLine="695" w:firstLineChars="250"/>
        <w:rPr>
          <w:rFonts w:ascii="仿宋" w:hAnsi="仿宋" w:eastAsia="仿宋"/>
          <w:spacing w:val="-1"/>
          <w:sz w:val="28"/>
          <w:szCs w:val="24"/>
        </w:rPr>
      </w:pPr>
      <w:r>
        <w:rPr>
          <w:rFonts w:ascii="仿宋" w:hAnsi="仿宋" w:eastAsia="仿宋"/>
          <w:spacing w:val="-1"/>
          <w:sz w:val="28"/>
          <w:szCs w:val="24"/>
        </w:rPr>
        <w:t>①标定区域划分</w:t>
      </w:r>
      <w:r>
        <w:rPr>
          <w:rFonts w:hint="eastAsia" w:ascii="仿宋" w:hAnsi="仿宋" w:eastAsia="仿宋"/>
          <w:spacing w:val="-1"/>
          <w:sz w:val="28"/>
          <w:szCs w:val="24"/>
        </w:rPr>
        <w:t>：</w:t>
      </w:r>
      <w:r>
        <w:rPr>
          <w:rFonts w:ascii="仿宋" w:hAnsi="仿宋" w:eastAsia="仿宋"/>
          <w:spacing w:val="-1"/>
          <w:sz w:val="28"/>
          <w:szCs w:val="24"/>
        </w:rPr>
        <w:t>初次尝试项目小组在已有资料以及利用数据采集技术获取的数据基础上，使用地价水平归纳法对</w:t>
      </w:r>
      <w:r>
        <w:rPr>
          <w:rFonts w:hint="eastAsia" w:ascii="仿宋" w:hAnsi="仿宋" w:eastAsia="仿宋"/>
          <w:spacing w:val="-1"/>
          <w:sz w:val="28"/>
          <w:szCs w:val="24"/>
        </w:rPr>
        <w:t>和平县</w:t>
      </w:r>
      <w:r>
        <w:rPr>
          <w:rFonts w:ascii="仿宋" w:hAnsi="仿宋" w:eastAsia="仿宋"/>
          <w:spacing w:val="-1"/>
          <w:sz w:val="28"/>
          <w:szCs w:val="24"/>
        </w:rPr>
        <w:t>的标定区域进行划分，初步划分标定区域</w:t>
      </w:r>
      <w:r>
        <w:rPr>
          <w:rFonts w:hint="eastAsia" w:ascii="仿宋" w:hAnsi="仿宋" w:eastAsia="仿宋"/>
          <w:spacing w:val="-1"/>
          <w:sz w:val="28"/>
          <w:szCs w:val="24"/>
        </w:rPr>
        <w:t>21</w:t>
      </w:r>
      <w:r>
        <w:rPr>
          <w:rFonts w:ascii="仿宋" w:hAnsi="仿宋" w:eastAsia="仿宋"/>
          <w:spacing w:val="-1"/>
          <w:sz w:val="28"/>
          <w:szCs w:val="24"/>
        </w:rPr>
        <w:t>个。②确定标定区域</w:t>
      </w:r>
      <w:r>
        <w:rPr>
          <w:rFonts w:hint="eastAsia" w:ascii="仿宋" w:hAnsi="仿宋" w:eastAsia="仿宋"/>
          <w:spacing w:val="-1"/>
          <w:sz w:val="28"/>
          <w:szCs w:val="24"/>
        </w:rPr>
        <w:t>：</w:t>
      </w:r>
      <w:r>
        <w:rPr>
          <w:rFonts w:ascii="仿宋" w:hAnsi="仿宋" w:eastAsia="仿宋"/>
          <w:spacing w:val="-1"/>
          <w:sz w:val="28"/>
          <w:szCs w:val="24"/>
        </w:rPr>
        <w:t>划分思路按照《标定地价规程》（TD/T 1052-2017）的相关要求，确定标定区域在</w:t>
      </w:r>
      <w:r>
        <w:rPr>
          <w:rFonts w:hint="eastAsia" w:ascii="仿宋" w:hAnsi="仿宋" w:eastAsia="仿宋"/>
          <w:spacing w:val="-1"/>
          <w:sz w:val="28"/>
          <w:szCs w:val="24"/>
        </w:rPr>
        <w:t>和平县</w:t>
      </w:r>
      <w:r>
        <w:rPr>
          <w:rFonts w:ascii="仿宋" w:hAnsi="仿宋" w:eastAsia="仿宋"/>
          <w:spacing w:val="-1"/>
          <w:sz w:val="28"/>
          <w:szCs w:val="24"/>
        </w:rPr>
        <w:t>基准地价级别的基础上，考虑区域内的主要现状或规划用途，参考整理后的</w:t>
      </w:r>
      <w:r>
        <w:rPr>
          <w:rFonts w:hint="eastAsia" w:ascii="仿宋" w:hAnsi="仿宋" w:eastAsia="仿宋"/>
          <w:spacing w:val="-1"/>
          <w:sz w:val="28"/>
          <w:szCs w:val="24"/>
        </w:rPr>
        <w:t>和平县</w:t>
      </w:r>
      <w:r>
        <w:rPr>
          <w:rFonts w:ascii="仿宋" w:hAnsi="仿宋" w:eastAsia="仿宋"/>
          <w:spacing w:val="-1"/>
          <w:sz w:val="28"/>
          <w:szCs w:val="24"/>
        </w:rPr>
        <w:t>不动产登记局房屋交易数据进行划分。对于地标性建筑物，选择具代表性和明显应用意义的建筑划分标定区域。③标定区域的划分</w:t>
      </w:r>
      <w:r>
        <w:rPr>
          <w:rFonts w:hint="eastAsia" w:ascii="仿宋" w:hAnsi="仿宋" w:eastAsia="仿宋"/>
          <w:spacing w:val="-1"/>
          <w:sz w:val="28"/>
          <w:szCs w:val="24"/>
        </w:rPr>
        <w:t>：</w:t>
      </w:r>
      <w:r>
        <w:rPr>
          <w:rFonts w:ascii="仿宋" w:hAnsi="仿宋" w:eastAsia="仿宋"/>
          <w:spacing w:val="-1"/>
          <w:sz w:val="28"/>
          <w:szCs w:val="24"/>
        </w:rPr>
        <w:t>项目小组对</w:t>
      </w:r>
      <w:r>
        <w:rPr>
          <w:rFonts w:hint="eastAsia" w:ascii="仿宋" w:hAnsi="仿宋" w:eastAsia="仿宋"/>
          <w:spacing w:val="-1"/>
          <w:sz w:val="28"/>
          <w:szCs w:val="24"/>
        </w:rPr>
        <w:t>和平县自然资源局</w:t>
      </w:r>
      <w:r>
        <w:rPr>
          <w:rFonts w:ascii="仿宋" w:hAnsi="仿宋" w:eastAsia="仿宋"/>
          <w:spacing w:val="-1"/>
          <w:sz w:val="28"/>
          <w:szCs w:val="24"/>
        </w:rPr>
        <w:t>、</w:t>
      </w:r>
      <w:r>
        <w:rPr>
          <w:rFonts w:hint="eastAsia" w:ascii="仿宋" w:hAnsi="仿宋" w:eastAsia="仿宋"/>
          <w:spacing w:val="-1"/>
          <w:sz w:val="28"/>
          <w:szCs w:val="24"/>
        </w:rPr>
        <w:t>和平县</w:t>
      </w:r>
      <w:r>
        <w:rPr>
          <w:rFonts w:ascii="仿宋" w:hAnsi="仿宋" w:eastAsia="仿宋"/>
          <w:spacing w:val="-1"/>
          <w:sz w:val="28"/>
          <w:szCs w:val="24"/>
        </w:rPr>
        <w:t>不动产登记</w:t>
      </w:r>
      <w:r>
        <w:rPr>
          <w:rFonts w:hint="eastAsia" w:ascii="仿宋" w:hAnsi="仿宋" w:eastAsia="仿宋"/>
          <w:spacing w:val="-1"/>
          <w:sz w:val="28"/>
          <w:szCs w:val="24"/>
        </w:rPr>
        <w:t>中心</w:t>
      </w:r>
      <w:r>
        <w:rPr>
          <w:rFonts w:ascii="仿宋" w:hAnsi="仿宋" w:eastAsia="仿宋"/>
          <w:spacing w:val="-1"/>
          <w:sz w:val="28"/>
          <w:szCs w:val="24"/>
        </w:rPr>
        <w:t>提供的房屋交易数据进行处理，在经过期日修正后形成划分标定区域的基础数据，在</w:t>
      </w:r>
      <w:r>
        <w:rPr>
          <w:rFonts w:hint="eastAsia" w:ascii="仿宋" w:hAnsi="仿宋" w:eastAsia="仿宋"/>
          <w:spacing w:val="-1"/>
          <w:sz w:val="28"/>
          <w:szCs w:val="24"/>
        </w:rPr>
        <w:t>和平县城镇</w:t>
      </w:r>
      <w:r>
        <w:rPr>
          <w:rFonts w:ascii="仿宋" w:hAnsi="仿宋" w:eastAsia="仿宋"/>
          <w:spacing w:val="-1"/>
          <w:sz w:val="28"/>
          <w:szCs w:val="24"/>
        </w:rPr>
        <w:t>基准地价级别图层的基础上，考虑区域的现状用途或规划用途，根据土地、房屋交易价格划分标定区域，完成</w:t>
      </w:r>
      <w:r>
        <w:rPr>
          <w:rFonts w:hint="eastAsia" w:ascii="仿宋" w:hAnsi="仿宋" w:eastAsia="仿宋"/>
          <w:spacing w:val="-1"/>
          <w:sz w:val="28"/>
          <w:szCs w:val="24"/>
        </w:rPr>
        <w:t>和平县</w:t>
      </w:r>
      <w:r>
        <w:rPr>
          <w:rFonts w:ascii="仿宋" w:hAnsi="仿宋" w:eastAsia="仿宋"/>
          <w:spacing w:val="-1"/>
          <w:sz w:val="28"/>
          <w:szCs w:val="24"/>
        </w:rPr>
        <w:t>工作范围内所有用途的标定区域的初步划分，共划分</w:t>
      </w:r>
      <w:r>
        <w:rPr>
          <w:rFonts w:hint="eastAsia" w:ascii="仿宋" w:hAnsi="仿宋" w:eastAsia="仿宋"/>
          <w:spacing w:val="-1"/>
          <w:sz w:val="28"/>
          <w:szCs w:val="24"/>
        </w:rPr>
        <w:t>21</w:t>
      </w:r>
      <w:r>
        <w:rPr>
          <w:rFonts w:ascii="仿宋" w:hAnsi="仿宋" w:eastAsia="仿宋"/>
          <w:spacing w:val="-1"/>
          <w:sz w:val="28"/>
          <w:szCs w:val="24"/>
        </w:rPr>
        <w:t>个标定区域。</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（2）修改标定区域</w:t>
      </w:r>
    </w:p>
    <w:p>
      <w:pPr>
        <w:adjustRightInd w:val="0"/>
        <w:snapToGrid w:val="0"/>
        <w:spacing w:line="360" w:lineRule="auto"/>
        <w:ind w:firstLine="695" w:firstLineChars="250"/>
        <w:rPr>
          <w:rFonts w:ascii="仿宋" w:hAnsi="仿宋" w:eastAsia="仿宋"/>
          <w:spacing w:val="-1"/>
          <w:sz w:val="28"/>
          <w:szCs w:val="24"/>
        </w:rPr>
      </w:pPr>
      <w:r>
        <w:rPr>
          <w:rFonts w:ascii="仿宋" w:hAnsi="仿宋" w:eastAsia="仿宋"/>
          <w:spacing w:val="-1"/>
          <w:sz w:val="28"/>
          <w:szCs w:val="24"/>
        </w:rPr>
        <w:t>根据《标定地价规程》（TD/T1052-2017）及项目汇报反馈意见，对初步划分的标定区域进行修改。以下为标定区域修改的主要方面：①划分的标定区域可以不连片；②将标定区域内连片的城中村、公园绿地分割出来，以保证标定区域主要用途的主导性；③标定区域不包含保障性住房；④根据</w:t>
      </w:r>
      <w:r>
        <w:rPr>
          <w:rFonts w:hint="eastAsia" w:ascii="仿宋" w:hAnsi="仿宋" w:eastAsia="仿宋"/>
          <w:spacing w:val="-1"/>
          <w:sz w:val="28"/>
          <w:szCs w:val="24"/>
        </w:rPr>
        <w:t>和平县</w:t>
      </w:r>
      <w:r>
        <w:rPr>
          <w:rFonts w:ascii="仿宋" w:hAnsi="仿宋" w:eastAsia="仿宋"/>
          <w:spacing w:val="-1"/>
          <w:sz w:val="28"/>
          <w:szCs w:val="24"/>
        </w:rPr>
        <w:t>基准地价成果修改标定区域；⑤检查标定区域破宗情况，修改标定区域；⑥参考</w:t>
      </w:r>
      <w:r>
        <w:rPr>
          <w:rFonts w:hint="eastAsia" w:ascii="仿宋" w:hAnsi="仿宋" w:eastAsia="仿宋"/>
          <w:spacing w:val="-1"/>
          <w:sz w:val="28"/>
          <w:szCs w:val="24"/>
        </w:rPr>
        <w:t>和平县</w:t>
      </w:r>
      <w:r>
        <w:rPr>
          <w:rFonts w:ascii="仿宋" w:hAnsi="仿宋" w:eastAsia="仿宋"/>
          <w:spacing w:val="-1"/>
          <w:sz w:val="28"/>
          <w:szCs w:val="24"/>
        </w:rPr>
        <w:t>最新城市规划确定的规划建设区进行划定的中心城区建成区、近期规划建设区，新增或修改标定区域；⑦ 根据外调情况，对标定区域进行修改。</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（3）确定标定区域</w:t>
      </w:r>
    </w:p>
    <w:p>
      <w:pPr>
        <w:adjustRightInd w:val="0"/>
        <w:snapToGrid w:val="0"/>
        <w:spacing w:line="360" w:lineRule="auto"/>
        <w:ind w:firstLine="695" w:firstLineChars="250"/>
        <w:rPr>
          <w:rFonts w:ascii="仿宋" w:hAnsi="仿宋" w:eastAsia="仿宋"/>
          <w:spacing w:val="-1"/>
          <w:sz w:val="28"/>
          <w:szCs w:val="24"/>
        </w:rPr>
      </w:pPr>
      <w:r>
        <w:rPr>
          <w:rFonts w:ascii="仿宋" w:hAnsi="仿宋" w:eastAsia="仿宋"/>
          <w:spacing w:val="-1"/>
          <w:sz w:val="28"/>
          <w:szCs w:val="24"/>
        </w:rPr>
        <w:t>根据项目合同要求以及查档资料情况，对标定区域范围进行适当调整，并最终确定，共</w:t>
      </w:r>
      <w:r>
        <w:rPr>
          <w:rFonts w:hint="eastAsia" w:ascii="仿宋" w:hAnsi="仿宋" w:eastAsia="仿宋"/>
          <w:spacing w:val="-1"/>
          <w:sz w:val="28"/>
          <w:szCs w:val="24"/>
        </w:rPr>
        <w:t>21</w:t>
      </w:r>
      <w:r>
        <w:rPr>
          <w:rFonts w:ascii="仿宋" w:hAnsi="仿宋" w:eastAsia="仿宋"/>
          <w:spacing w:val="-1"/>
          <w:sz w:val="28"/>
          <w:szCs w:val="24"/>
        </w:rPr>
        <w:t>个标定区域。</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（4）标定区域编码登记</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根据《标定地价规程》（TD/T1052-2017）的编码规则，对各标定区域进行编码和登记。</w:t>
      </w:r>
    </w:p>
    <w:p>
      <w:pPr>
        <w:pStyle w:val="2"/>
        <w:rPr>
          <w:rFonts w:ascii="仿宋" w:hAnsi="仿宋" w:eastAsia="仿宋"/>
          <w:sz w:val="28"/>
        </w:rPr>
      </w:pPr>
      <w:bookmarkStart w:id="87" w:name="_Toc61275815"/>
      <w:r>
        <w:rPr>
          <w:rFonts w:hint="eastAsia" w:ascii="仿宋" w:hAnsi="仿宋" w:eastAsia="仿宋"/>
          <w:sz w:val="28"/>
        </w:rPr>
        <w:t>（五）布设标准宗地阶段</w:t>
      </w:r>
      <w:bookmarkEnd w:id="87"/>
    </w:p>
    <w:p>
      <w:pPr>
        <w:pStyle w:val="20"/>
        <w:spacing w:line="360" w:lineRule="auto"/>
        <w:ind w:left="136"/>
        <w:outlineLvl w:val="9"/>
        <w:rPr>
          <w:rFonts w:ascii="仿宋" w:hAnsi="仿宋" w:eastAsia="仿宋"/>
          <w:sz w:val="28"/>
          <w:szCs w:val="24"/>
          <w:lang w:eastAsia="zh-CN"/>
        </w:rPr>
      </w:pPr>
      <w:bookmarkStart w:id="88" w:name="_Toc45964114"/>
      <w:bookmarkStart w:id="89" w:name="_Toc45121096"/>
      <w:bookmarkStart w:id="90" w:name="_Toc56777270"/>
      <w:bookmarkStart w:id="91" w:name="_Toc56777400"/>
      <w:bookmarkStart w:id="92" w:name="_Toc56952446"/>
      <w:bookmarkStart w:id="93" w:name="_Toc56777491"/>
      <w:bookmarkStart w:id="94" w:name="_Toc61275816"/>
      <w:r>
        <w:rPr>
          <w:rFonts w:hint="eastAsia" w:ascii="仿宋" w:hAnsi="仿宋" w:eastAsia="仿宋"/>
          <w:sz w:val="28"/>
          <w:szCs w:val="24"/>
          <w:lang w:eastAsia="zh-CN"/>
        </w:rPr>
        <w:t>1、时间安排</w:t>
      </w:r>
      <w:bookmarkEnd w:id="88"/>
      <w:bookmarkEnd w:id="89"/>
      <w:bookmarkEnd w:id="90"/>
      <w:bookmarkEnd w:id="91"/>
      <w:bookmarkEnd w:id="92"/>
      <w:bookmarkEnd w:id="93"/>
      <w:bookmarkEnd w:id="94"/>
    </w:p>
    <w:p>
      <w:pPr>
        <w:spacing w:line="360" w:lineRule="auto"/>
        <w:ind w:firstLine="556" w:firstLineChars="200"/>
        <w:rPr>
          <w:rFonts w:ascii="仿宋" w:hAnsi="仿宋" w:eastAsia="仿宋"/>
          <w:spacing w:val="-1"/>
          <w:sz w:val="28"/>
          <w:szCs w:val="24"/>
        </w:rPr>
      </w:pPr>
      <w:bookmarkStart w:id="95" w:name="_Toc45121097"/>
      <w:bookmarkStart w:id="96" w:name="_Toc45964115"/>
      <w:r>
        <w:rPr>
          <w:rFonts w:hint="eastAsia" w:ascii="仿宋" w:hAnsi="仿宋" w:eastAsia="仿宋"/>
          <w:spacing w:val="-1"/>
          <w:sz w:val="28"/>
          <w:szCs w:val="24"/>
        </w:rPr>
        <w:t>2020年9月中至2020年9月末</w:t>
      </w:r>
      <w:bookmarkEnd w:id="95"/>
      <w:bookmarkEnd w:id="96"/>
    </w:p>
    <w:p>
      <w:pPr>
        <w:pStyle w:val="20"/>
        <w:spacing w:line="360" w:lineRule="auto"/>
        <w:ind w:left="136"/>
        <w:outlineLvl w:val="9"/>
        <w:rPr>
          <w:rFonts w:ascii="仿宋" w:hAnsi="仿宋" w:eastAsia="仿宋"/>
          <w:sz w:val="28"/>
          <w:szCs w:val="24"/>
          <w:lang w:eastAsia="zh-CN"/>
        </w:rPr>
      </w:pPr>
      <w:bookmarkStart w:id="97" w:name="_Toc56777492"/>
      <w:bookmarkStart w:id="98" w:name="_Toc45964116"/>
      <w:bookmarkStart w:id="99" w:name="_Toc56777401"/>
      <w:bookmarkStart w:id="100" w:name="_Toc56777271"/>
      <w:bookmarkStart w:id="101" w:name="_Toc56952447"/>
      <w:bookmarkStart w:id="102" w:name="_Toc45121098"/>
      <w:bookmarkStart w:id="103" w:name="_Toc61275817"/>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97"/>
      <w:bookmarkEnd w:id="98"/>
      <w:bookmarkEnd w:id="99"/>
      <w:bookmarkEnd w:id="100"/>
      <w:bookmarkEnd w:id="101"/>
      <w:bookmarkEnd w:id="102"/>
      <w:bookmarkEnd w:id="103"/>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（1）预选标准宗地</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遵循标准宗地设立的代表性、确定性、标识性等原则，根据各个标定区域的情况，每个标定区域选择1-3个宗地进行基础资料收集，包括宗地名称、宗地地址、权利人、国土证等信息，以备后续查档使用。</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（2）预选标准宗地档案查询</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根据收集到的预选标准宗地资料，根据收集到的预选标准宗地资料，项目小组派技术人员到</w:t>
      </w:r>
      <w:r>
        <w:rPr>
          <w:rFonts w:hint="eastAsia" w:ascii="仿宋" w:hAnsi="仿宋" w:eastAsia="仿宋"/>
          <w:spacing w:val="-1"/>
          <w:sz w:val="28"/>
          <w:szCs w:val="24"/>
        </w:rPr>
        <w:t>和平县自然资源局</w:t>
      </w:r>
      <w:r>
        <w:rPr>
          <w:rFonts w:ascii="仿宋" w:hAnsi="仿宋" w:eastAsia="仿宋"/>
          <w:spacing w:val="-1"/>
          <w:sz w:val="28"/>
          <w:szCs w:val="24"/>
        </w:rPr>
        <w:t>查询预选标准宗地土地权利和利用状况资料，包括出让合同、国土证、红线图、规划条件、核准工程明细表、建设工程规划验收合格证等资料。</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（3）确定标准宗地</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根据查询到的预选标准宗地土地权利和利用状况资料，组织人员对初步设立的标准宗地进行实地勘察，调查标准宗地的土地利用状况、周边环境、不动产价格水平等情况，选择合适的宗地作为该标定区域的标准宗地。</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（4）标准宗地编码登记</w:t>
      </w:r>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对确定的标准宗地根据《标定地价规程》（TD/T1052-2017）的编码规则及登记表样式进行编码与登记。</w:t>
      </w:r>
    </w:p>
    <w:p>
      <w:pPr>
        <w:pStyle w:val="2"/>
        <w:rPr>
          <w:rFonts w:ascii="仿宋" w:hAnsi="仿宋" w:eastAsia="仿宋"/>
          <w:sz w:val="28"/>
        </w:rPr>
      </w:pPr>
      <w:bookmarkStart w:id="104" w:name="_Toc61275818"/>
      <w:r>
        <w:rPr>
          <w:rFonts w:hint="eastAsia" w:ascii="仿宋" w:hAnsi="仿宋" w:eastAsia="仿宋"/>
          <w:sz w:val="28"/>
        </w:rPr>
        <w:t>（六）标定地价评估阶段</w:t>
      </w:r>
      <w:bookmarkEnd w:id="104"/>
    </w:p>
    <w:p>
      <w:pPr>
        <w:pStyle w:val="20"/>
        <w:spacing w:line="360" w:lineRule="auto"/>
        <w:ind w:left="136"/>
        <w:outlineLvl w:val="9"/>
        <w:rPr>
          <w:rFonts w:ascii="仿宋" w:hAnsi="仿宋" w:eastAsia="仿宋"/>
          <w:sz w:val="28"/>
          <w:szCs w:val="24"/>
          <w:lang w:eastAsia="zh-CN"/>
        </w:rPr>
      </w:pPr>
      <w:bookmarkStart w:id="105" w:name="_Toc45964118"/>
      <w:bookmarkStart w:id="106" w:name="_Toc56777493"/>
      <w:bookmarkStart w:id="107" w:name="_Toc56952448"/>
      <w:bookmarkStart w:id="108" w:name="_Toc56777272"/>
      <w:bookmarkStart w:id="109" w:name="_Toc56777402"/>
      <w:bookmarkStart w:id="110" w:name="_Toc45121100"/>
      <w:bookmarkStart w:id="111" w:name="_Toc61275819"/>
      <w:r>
        <w:rPr>
          <w:rFonts w:hint="eastAsia" w:ascii="仿宋" w:hAnsi="仿宋" w:eastAsia="仿宋"/>
          <w:sz w:val="28"/>
          <w:szCs w:val="24"/>
          <w:lang w:eastAsia="zh-CN"/>
        </w:rPr>
        <w:t>1、时间安排</w:t>
      </w:r>
      <w:bookmarkEnd w:id="105"/>
      <w:bookmarkEnd w:id="106"/>
      <w:bookmarkEnd w:id="107"/>
      <w:bookmarkEnd w:id="108"/>
      <w:bookmarkEnd w:id="109"/>
      <w:bookmarkEnd w:id="110"/>
      <w:bookmarkEnd w:id="111"/>
    </w:p>
    <w:p>
      <w:pPr>
        <w:spacing w:line="360" w:lineRule="auto"/>
        <w:ind w:firstLine="556" w:firstLineChars="200"/>
        <w:rPr>
          <w:rFonts w:ascii="仿宋" w:hAnsi="仿宋" w:eastAsia="仿宋"/>
          <w:spacing w:val="-1"/>
          <w:sz w:val="28"/>
          <w:szCs w:val="24"/>
        </w:rPr>
      </w:pPr>
      <w:bookmarkStart w:id="112" w:name="_Toc45964119"/>
      <w:bookmarkStart w:id="113" w:name="_Toc45121101"/>
      <w:r>
        <w:rPr>
          <w:rFonts w:hint="eastAsia" w:ascii="仿宋" w:hAnsi="仿宋" w:eastAsia="仿宋"/>
          <w:spacing w:val="-1"/>
          <w:sz w:val="28"/>
          <w:szCs w:val="24"/>
        </w:rPr>
        <w:t>2020年10月初至2020年10月</w:t>
      </w:r>
      <w:bookmarkEnd w:id="112"/>
      <w:bookmarkEnd w:id="113"/>
      <w:r>
        <w:rPr>
          <w:rFonts w:hint="eastAsia" w:ascii="仿宋" w:hAnsi="仿宋" w:eastAsia="仿宋"/>
          <w:spacing w:val="-1"/>
          <w:sz w:val="28"/>
          <w:szCs w:val="24"/>
        </w:rPr>
        <w:t>末</w:t>
      </w:r>
    </w:p>
    <w:p>
      <w:pPr>
        <w:pStyle w:val="20"/>
        <w:spacing w:line="360" w:lineRule="auto"/>
        <w:outlineLvl w:val="9"/>
        <w:rPr>
          <w:rFonts w:ascii="仿宋" w:hAnsi="仿宋" w:eastAsia="仿宋"/>
          <w:sz w:val="28"/>
          <w:szCs w:val="24"/>
          <w:lang w:eastAsia="zh-CN"/>
        </w:rPr>
      </w:pPr>
      <w:bookmarkStart w:id="114" w:name="_Toc56777494"/>
      <w:bookmarkStart w:id="115" w:name="_Toc56952449"/>
      <w:bookmarkStart w:id="116" w:name="_Toc56777403"/>
      <w:bookmarkStart w:id="117" w:name="_Toc45964120"/>
      <w:bookmarkStart w:id="118" w:name="_Toc45121102"/>
      <w:bookmarkStart w:id="119" w:name="_Toc61275820"/>
      <w:bookmarkStart w:id="120" w:name="_Toc56777273"/>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14"/>
      <w:bookmarkEnd w:id="115"/>
      <w:bookmarkEnd w:id="116"/>
      <w:bookmarkEnd w:id="117"/>
      <w:bookmarkEnd w:id="118"/>
      <w:bookmarkEnd w:id="119"/>
      <w:bookmarkEnd w:id="120"/>
    </w:p>
    <w:p>
      <w:pPr>
        <w:adjustRightInd w:val="0"/>
        <w:snapToGrid w:val="0"/>
        <w:spacing w:line="360" w:lineRule="auto"/>
        <w:rPr>
          <w:rFonts w:ascii="仿宋" w:hAnsi="仿宋" w:eastAsia="仿宋"/>
          <w:spacing w:val="-1"/>
          <w:sz w:val="28"/>
          <w:szCs w:val="24"/>
        </w:rPr>
      </w:pPr>
      <w:bookmarkStart w:id="121" w:name="_Toc45964121"/>
      <w:bookmarkStart w:id="122" w:name="_Toc45121103"/>
      <w:r>
        <w:rPr>
          <w:rFonts w:ascii="仿宋" w:hAnsi="仿宋" w:eastAsia="仿宋"/>
          <w:spacing w:val="-1"/>
          <w:sz w:val="28"/>
          <w:szCs w:val="24"/>
        </w:rPr>
        <w:t>（1）标定地价评估</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前期准备根据项目工作的技术过程及技术要求制作标定地价评估工作指引，说明标定地价制定的背景、意义、目的、适用范围、技术依据等，明确项目工作，分析说明项目工作的总体技术路线，规范项目技术过程，明确项目成果提交相关规划及要求，制作标准宗地评估测算表、登记表模板、报告模板等。</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（2）召开标定地价评估会议，组织估价师开展评估工作</w:t>
      </w:r>
    </w:p>
    <w:p>
      <w:pPr>
        <w:adjustRightInd w:val="0"/>
        <w:snapToGrid w:val="0"/>
        <w:spacing w:line="360" w:lineRule="auto"/>
        <w:ind w:firstLine="450"/>
        <w:rPr>
          <w:rFonts w:ascii="仿宋" w:hAnsi="仿宋" w:eastAsia="仿宋"/>
          <w:spacing w:val="-1"/>
          <w:sz w:val="28"/>
          <w:szCs w:val="24"/>
        </w:rPr>
      </w:pPr>
      <w:r>
        <w:rPr>
          <w:rFonts w:ascii="仿宋" w:hAnsi="仿宋" w:eastAsia="仿宋"/>
          <w:spacing w:val="-1"/>
          <w:sz w:val="28"/>
          <w:szCs w:val="24"/>
        </w:rPr>
        <w:t>组织全体估价师召开评估会议，对估价师进行项目技术培训，对工作进行部署。</w:t>
      </w:r>
    </w:p>
    <w:p>
      <w:pPr>
        <w:adjustRightInd w:val="0"/>
        <w:snapToGrid w:val="0"/>
        <w:spacing w:line="360" w:lineRule="auto"/>
        <w:ind w:firstLine="450"/>
        <w:rPr>
          <w:rFonts w:ascii="仿宋" w:hAnsi="仿宋" w:eastAsia="仿宋"/>
          <w:spacing w:val="-1"/>
          <w:sz w:val="28"/>
          <w:szCs w:val="24"/>
        </w:rPr>
      </w:pPr>
      <w:r>
        <w:rPr>
          <w:rFonts w:ascii="仿宋" w:hAnsi="仿宋" w:eastAsia="仿宋"/>
          <w:spacing w:val="-1"/>
          <w:sz w:val="28"/>
          <w:szCs w:val="24"/>
        </w:rPr>
        <w:t>（3）标定地价初次评估并提出建议值</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在项目小组的组织协调下，每宗标准宗地的价格由两名土地估价师独立负责评估，并按照标准格式填写相应表格，说明评估要点，编制评估报告，并由技术承担单位根据两名估价师的评估结果提出标定地价建议值。</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（4）成果审议与确定</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待各估价机构提交成果后，项目小组对成果进行初步审核，主要包括项目成果完备性的审核、评估参数的审核、评估测算过程的审核、评估结果的审核。</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（5）意见修改与完善</w:t>
      </w:r>
    </w:p>
    <w:p>
      <w:pPr>
        <w:adjustRightInd w:val="0"/>
        <w:snapToGrid w:val="0"/>
        <w:spacing w:line="360" w:lineRule="auto"/>
        <w:ind w:firstLine="695" w:firstLineChars="250"/>
        <w:rPr>
          <w:rFonts w:ascii="仿宋" w:hAnsi="仿宋" w:eastAsia="仿宋"/>
          <w:spacing w:val="-1"/>
          <w:sz w:val="28"/>
          <w:szCs w:val="24"/>
        </w:rPr>
      </w:pPr>
      <w:r>
        <w:rPr>
          <w:rFonts w:ascii="仿宋" w:hAnsi="仿宋" w:eastAsia="仿宋"/>
          <w:spacing w:val="-1"/>
          <w:sz w:val="28"/>
          <w:szCs w:val="24"/>
        </w:rPr>
        <w:t>汇总技术单位初步提出的标定地价建议值，提交</w:t>
      </w:r>
      <w:r>
        <w:rPr>
          <w:rFonts w:hint="eastAsia" w:ascii="仿宋" w:hAnsi="仿宋" w:eastAsia="仿宋"/>
          <w:spacing w:val="-1"/>
          <w:sz w:val="28"/>
          <w:szCs w:val="24"/>
        </w:rPr>
        <w:t>和平县自然资源局</w:t>
      </w:r>
      <w:r>
        <w:rPr>
          <w:rFonts w:ascii="仿宋" w:hAnsi="仿宋" w:eastAsia="仿宋"/>
          <w:spacing w:val="-1"/>
          <w:sz w:val="28"/>
          <w:szCs w:val="24"/>
        </w:rPr>
        <w:t>进行审议和确定，对价格水平异常的标准宗地进行重点核查，技术单位根据</w:t>
      </w:r>
      <w:r>
        <w:rPr>
          <w:rFonts w:hint="eastAsia" w:ascii="仿宋" w:hAnsi="仿宋" w:eastAsia="仿宋"/>
          <w:spacing w:val="-1"/>
          <w:sz w:val="28"/>
          <w:szCs w:val="24"/>
        </w:rPr>
        <w:t>和平县自然资源局</w:t>
      </w:r>
      <w:r>
        <w:rPr>
          <w:rFonts w:ascii="仿宋" w:hAnsi="仿宋" w:eastAsia="仿宋"/>
          <w:spacing w:val="-1"/>
          <w:sz w:val="28"/>
          <w:szCs w:val="24"/>
        </w:rPr>
        <w:t>提出的处理意见进行完善。</w:t>
      </w:r>
    </w:p>
    <w:p>
      <w:pPr>
        <w:adjustRightInd w:val="0"/>
        <w:snapToGrid w:val="0"/>
        <w:spacing w:line="360" w:lineRule="auto"/>
        <w:rPr>
          <w:rFonts w:ascii="仿宋" w:hAnsi="仿宋" w:eastAsia="仿宋"/>
          <w:spacing w:val="-1"/>
          <w:sz w:val="28"/>
          <w:szCs w:val="24"/>
        </w:rPr>
      </w:pPr>
      <w:r>
        <w:rPr>
          <w:rFonts w:ascii="仿宋" w:hAnsi="仿宋" w:eastAsia="仿宋"/>
          <w:spacing w:val="-1"/>
          <w:sz w:val="28"/>
          <w:szCs w:val="24"/>
        </w:rPr>
        <w:t>（6）编制标定地价修正体系</w:t>
      </w:r>
    </w:p>
    <w:p>
      <w:pPr>
        <w:adjustRightInd w:val="0"/>
        <w:snapToGrid w:val="0"/>
        <w:spacing w:line="360" w:lineRule="auto"/>
        <w:ind w:firstLine="695" w:firstLineChars="250"/>
        <w:rPr>
          <w:rFonts w:ascii="仿宋" w:hAnsi="仿宋" w:eastAsia="仿宋"/>
          <w:spacing w:val="-1"/>
          <w:sz w:val="28"/>
          <w:szCs w:val="24"/>
        </w:rPr>
      </w:pPr>
      <w:r>
        <w:rPr>
          <w:rFonts w:ascii="仿宋" w:hAnsi="仿宋" w:eastAsia="仿宋"/>
          <w:spacing w:val="-1"/>
          <w:sz w:val="28"/>
          <w:szCs w:val="24"/>
        </w:rPr>
        <w:t>参照《城镇土地估价规程》（GB/T 18508-2014）的要求，编制标定地价修正体系表。</w:t>
      </w:r>
    </w:p>
    <w:bookmarkEnd w:id="121"/>
    <w:bookmarkEnd w:id="122"/>
    <w:p>
      <w:pPr>
        <w:pStyle w:val="2"/>
        <w:rPr>
          <w:rFonts w:ascii="仿宋" w:hAnsi="仿宋" w:eastAsia="仿宋"/>
          <w:sz w:val="28"/>
        </w:rPr>
      </w:pPr>
      <w:bookmarkStart w:id="123" w:name="_Toc61275821"/>
      <w:r>
        <w:rPr>
          <w:rFonts w:hint="eastAsia" w:ascii="仿宋" w:hAnsi="仿宋" w:eastAsia="仿宋"/>
          <w:sz w:val="28"/>
        </w:rPr>
        <w:t>（七）成果编制阶段</w:t>
      </w:r>
      <w:bookmarkEnd w:id="123"/>
    </w:p>
    <w:p>
      <w:pPr>
        <w:pStyle w:val="20"/>
        <w:spacing w:line="360" w:lineRule="auto"/>
        <w:ind w:left="136"/>
        <w:outlineLvl w:val="9"/>
        <w:rPr>
          <w:rFonts w:ascii="仿宋" w:hAnsi="仿宋" w:eastAsia="仿宋"/>
          <w:sz w:val="28"/>
          <w:szCs w:val="24"/>
          <w:lang w:eastAsia="zh-CN"/>
        </w:rPr>
      </w:pPr>
      <w:bookmarkStart w:id="124" w:name="_Toc56777274"/>
      <w:bookmarkStart w:id="125" w:name="_Toc56777404"/>
      <w:bookmarkStart w:id="126" w:name="_Toc45964123"/>
      <w:bookmarkStart w:id="127" w:name="_Toc61275822"/>
      <w:bookmarkStart w:id="128" w:name="_Toc56952450"/>
      <w:bookmarkStart w:id="129" w:name="_Toc45121105"/>
      <w:bookmarkStart w:id="130" w:name="_Toc56777495"/>
      <w:r>
        <w:rPr>
          <w:rFonts w:hint="eastAsia" w:ascii="仿宋" w:hAnsi="仿宋" w:eastAsia="仿宋"/>
          <w:sz w:val="28"/>
          <w:szCs w:val="24"/>
          <w:lang w:eastAsia="zh-CN"/>
        </w:rPr>
        <w:t>1、时间安排</w:t>
      </w:r>
      <w:bookmarkEnd w:id="124"/>
      <w:bookmarkEnd w:id="125"/>
      <w:bookmarkEnd w:id="126"/>
      <w:bookmarkEnd w:id="127"/>
      <w:bookmarkEnd w:id="128"/>
      <w:bookmarkEnd w:id="129"/>
      <w:bookmarkEnd w:id="130"/>
    </w:p>
    <w:p>
      <w:pPr>
        <w:spacing w:line="360" w:lineRule="auto"/>
        <w:ind w:firstLine="556" w:firstLineChars="200"/>
        <w:rPr>
          <w:rFonts w:ascii="仿宋" w:hAnsi="仿宋" w:eastAsia="仿宋"/>
          <w:spacing w:val="-1"/>
          <w:sz w:val="28"/>
          <w:szCs w:val="24"/>
        </w:rPr>
      </w:pPr>
      <w:bookmarkStart w:id="131" w:name="_Toc45964124"/>
      <w:r>
        <w:rPr>
          <w:rFonts w:ascii="仿宋" w:hAnsi="仿宋" w:eastAsia="仿宋"/>
          <w:spacing w:val="-1"/>
          <w:sz w:val="28"/>
          <w:szCs w:val="24"/>
        </w:rPr>
        <w:t>20</w:t>
      </w:r>
      <w:r>
        <w:rPr>
          <w:rFonts w:hint="eastAsia" w:ascii="仿宋" w:hAnsi="仿宋" w:eastAsia="仿宋"/>
          <w:spacing w:val="-1"/>
          <w:sz w:val="28"/>
          <w:szCs w:val="24"/>
        </w:rPr>
        <w:t>20</w:t>
      </w:r>
      <w:r>
        <w:rPr>
          <w:rFonts w:ascii="仿宋" w:hAnsi="仿宋" w:eastAsia="仿宋"/>
          <w:spacing w:val="-1"/>
          <w:sz w:val="28"/>
          <w:szCs w:val="24"/>
        </w:rPr>
        <w:t xml:space="preserve"> 年 </w:t>
      </w:r>
      <w:bookmarkEnd w:id="131"/>
      <w:r>
        <w:rPr>
          <w:rFonts w:hint="eastAsia" w:ascii="仿宋" w:hAnsi="仿宋" w:eastAsia="仿宋"/>
          <w:spacing w:val="-1"/>
          <w:sz w:val="28"/>
          <w:szCs w:val="24"/>
        </w:rPr>
        <w:t>11月初至2020年11月中</w:t>
      </w:r>
    </w:p>
    <w:p>
      <w:pPr>
        <w:pStyle w:val="20"/>
        <w:spacing w:line="360" w:lineRule="auto"/>
        <w:ind w:left="136"/>
        <w:outlineLvl w:val="9"/>
        <w:rPr>
          <w:rFonts w:ascii="仿宋" w:hAnsi="仿宋" w:eastAsia="仿宋"/>
          <w:sz w:val="28"/>
          <w:szCs w:val="24"/>
          <w:lang w:eastAsia="zh-CN"/>
        </w:rPr>
      </w:pPr>
      <w:bookmarkStart w:id="132" w:name="_Toc45121107"/>
      <w:bookmarkStart w:id="133" w:name="_Toc56777496"/>
      <w:bookmarkStart w:id="134" w:name="_Toc45964125"/>
      <w:bookmarkStart w:id="135" w:name="_Toc56777275"/>
      <w:bookmarkStart w:id="136" w:name="_Toc61275823"/>
      <w:bookmarkStart w:id="137" w:name="_Toc56952451"/>
      <w:bookmarkStart w:id="138" w:name="_Toc56777405"/>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32"/>
      <w:bookmarkEnd w:id="133"/>
      <w:bookmarkEnd w:id="134"/>
      <w:bookmarkEnd w:id="135"/>
      <w:bookmarkEnd w:id="136"/>
      <w:bookmarkEnd w:id="137"/>
      <w:bookmarkEnd w:id="138"/>
    </w:p>
    <w:p>
      <w:pPr>
        <w:adjustRightInd w:val="0"/>
        <w:snapToGrid w:val="0"/>
        <w:spacing w:line="360" w:lineRule="auto"/>
        <w:ind w:firstLine="417" w:firstLineChars="150"/>
        <w:rPr>
          <w:rFonts w:ascii="仿宋" w:hAnsi="仿宋" w:eastAsia="仿宋"/>
          <w:spacing w:val="-1"/>
          <w:sz w:val="28"/>
          <w:szCs w:val="24"/>
        </w:rPr>
      </w:pPr>
      <w:r>
        <w:rPr>
          <w:rFonts w:ascii="仿宋" w:hAnsi="仿宋" w:eastAsia="仿宋"/>
          <w:spacing w:val="-1"/>
          <w:sz w:val="28"/>
          <w:szCs w:val="24"/>
        </w:rPr>
        <w:t>（1）汇总和编制标定地价文本成果，汇总审核由各估价机构提供的标定地价评估报告，编制标定地价体系建设报告。</w:t>
      </w:r>
    </w:p>
    <w:p>
      <w:pPr>
        <w:adjustRightInd w:val="0"/>
        <w:snapToGrid w:val="0"/>
        <w:spacing w:line="360" w:lineRule="auto"/>
        <w:ind w:firstLine="417" w:firstLineChars="150"/>
        <w:rPr>
          <w:rFonts w:ascii="仿宋" w:hAnsi="仿宋" w:eastAsia="仿宋"/>
          <w:spacing w:val="-1"/>
          <w:sz w:val="28"/>
          <w:szCs w:val="24"/>
        </w:rPr>
      </w:pPr>
      <w:r>
        <w:rPr>
          <w:rFonts w:ascii="仿宋" w:hAnsi="仿宋" w:eastAsia="仿宋"/>
          <w:spacing w:val="-1"/>
          <w:sz w:val="28"/>
          <w:szCs w:val="24"/>
        </w:rPr>
        <w:t>（2）按规程要求编制和汇总表格成果，包括标准宗地基本信息登记表，标准宗地评估技术要点表，标定地价建议及结果表，标定地价信息公示表和标定地价修正体系表。</w:t>
      </w:r>
    </w:p>
    <w:p>
      <w:pPr>
        <w:adjustRightInd w:val="0"/>
        <w:snapToGrid w:val="0"/>
        <w:spacing w:line="360" w:lineRule="auto"/>
        <w:ind w:firstLine="417" w:firstLineChars="150"/>
        <w:rPr>
          <w:rFonts w:ascii="仿宋" w:hAnsi="仿宋" w:eastAsia="仿宋"/>
          <w:spacing w:val="-1"/>
          <w:sz w:val="28"/>
          <w:szCs w:val="24"/>
        </w:rPr>
      </w:pPr>
      <w:r>
        <w:rPr>
          <w:rFonts w:ascii="仿宋" w:hAnsi="仿宋" w:eastAsia="仿宋"/>
          <w:spacing w:val="-1"/>
          <w:sz w:val="28"/>
          <w:szCs w:val="24"/>
        </w:rPr>
        <w:t>（3）编制图件成果，主要包括标准宗地和标定区域布设图。</w:t>
      </w:r>
    </w:p>
    <w:p>
      <w:pPr>
        <w:pStyle w:val="2"/>
        <w:rPr>
          <w:rFonts w:ascii="仿宋" w:hAnsi="仿宋" w:eastAsia="仿宋"/>
          <w:sz w:val="28"/>
        </w:rPr>
      </w:pPr>
      <w:bookmarkStart w:id="139" w:name="_Toc61275824"/>
      <w:r>
        <w:rPr>
          <w:rFonts w:hint="eastAsia" w:ascii="仿宋" w:hAnsi="仿宋" w:eastAsia="仿宋"/>
          <w:sz w:val="28"/>
        </w:rPr>
        <w:t>（八）成果听证阶段</w:t>
      </w:r>
      <w:bookmarkEnd w:id="139"/>
    </w:p>
    <w:p>
      <w:pPr>
        <w:pStyle w:val="20"/>
        <w:spacing w:line="360" w:lineRule="auto"/>
        <w:ind w:left="136"/>
        <w:outlineLvl w:val="9"/>
        <w:rPr>
          <w:rFonts w:ascii="仿宋" w:hAnsi="仿宋" w:eastAsia="仿宋"/>
          <w:sz w:val="28"/>
          <w:szCs w:val="24"/>
          <w:lang w:eastAsia="zh-CN"/>
        </w:rPr>
      </w:pPr>
      <w:bookmarkStart w:id="140" w:name="_Toc45121109"/>
      <w:bookmarkStart w:id="141" w:name="_Toc56777276"/>
      <w:bookmarkStart w:id="142" w:name="_Toc61275825"/>
      <w:bookmarkStart w:id="143" w:name="_Toc56777406"/>
      <w:bookmarkStart w:id="144" w:name="_Toc56952452"/>
      <w:bookmarkStart w:id="145" w:name="_Toc56777497"/>
      <w:bookmarkStart w:id="146" w:name="_Toc45964128"/>
      <w:r>
        <w:rPr>
          <w:rFonts w:hint="eastAsia" w:ascii="仿宋" w:hAnsi="仿宋" w:eastAsia="仿宋"/>
          <w:sz w:val="28"/>
          <w:szCs w:val="24"/>
          <w:lang w:eastAsia="zh-CN"/>
        </w:rPr>
        <w:t>1、时间安排</w:t>
      </w:r>
      <w:bookmarkEnd w:id="140"/>
      <w:bookmarkEnd w:id="141"/>
      <w:bookmarkEnd w:id="142"/>
      <w:bookmarkEnd w:id="143"/>
      <w:bookmarkEnd w:id="144"/>
      <w:bookmarkEnd w:id="145"/>
      <w:bookmarkEnd w:id="146"/>
    </w:p>
    <w:p>
      <w:pPr>
        <w:pStyle w:val="4"/>
        <w:spacing w:before="90" w:line="312" w:lineRule="auto"/>
        <w:ind w:right="148" w:firstLine="559"/>
        <w:jc w:val="both"/>
        <w:rPr>
          <w:rFonts w:ascii="仿宋" w:hAnsi="仿宋" w:eastAsia="仿宋"/>
          <w:spacing w:val="-1"/>
          <w:szCs w:val="24"/>
          <w:lang w:eastAsia="zh-CN"/>
        </w:rPr>
      </w:pPr>
      <w:bookmarkStart w:id="147" w:name="_Toc45964129"/>
      <w:r>
        <w:rPr>
          <w:rFonts w:ascii="仿宋" w:hAnsi="仿宋" w:eastAsia="仿宋"/>
          <w:spacing w:val="-1"/>
          <w:szCs w:val="24"/>
          <w:lang w:eastAsia="zh-CN"/>
        </w:rPr>
        <w:t>20</w:t>
      </w:r>
      <w:r>
        <w:rPr>
          <w:rFonts w:hint="eastAsia" w:ascii="仿宋" w:hAnsi="仿宋" w:eastAsia="仿宋"/>
          <w:spacing w:val="-1"/>
          <w:szCs w:val="24"/>
          <w:lang w:eastAsia="zh-CN"/>
        </w:rPr>
        <w:t>20</w:t>
      </w:r>
      <w:r>
        <w:rPr>
          <w:rFonts w:ascii="仿宋" w:hAnsi="仿宋" w:eastAsia="仿宋"/>
          <w:spacing w:val="-1"/>
          <w:szCs w:val="24"/>
          <w:lang w:eastAsia="zh-CN"/>
        </w:rPr>
        <w:t xml:space="preserve"> 年</w:t>
      </w:r>
      <w:r>
        <w:rPr>
          <w:rFonts w:hint="eastAsia" w:ascii="仿宋" w:hAnsi="仿宋" w:eastAsia="仿宋"/>
          <w:spacing w:val="-1"/>
          <w:szCs w:val="24"/>
          <w:lang w:eastAsia="zh-CN"/>
        </w:rPr>
        <w:t>11</w:t>
      </w:r>
      <w:r>
        <w:rPr>
          <w:rFonts w:ascii="仿宋" w:hAnsi="仿宋" w:eastAsia="仿宋"/>
          <w:spacing w:val="-1"/>
          <w:szCs w:val="24"/>
          <w:lang w:eastAsia="zh-CN"/>
        </w:rPr>
        <w:t xml:space="preserve"> 月</w:t>
      </w:r>
      <w:bookmarkEnd w:id="147"/>
      <w:r>
        <w:rPr>
          <w:rFonts w:hint="eastAsia" w:ascii="仿宋" w:hAnsi="仿宋" w:eastAsia="仿宋"/>
          <w:spacing w:val="-1"/>
          <w:szCs w:val="24"/>
          <w:lang w:eastAsia="zh-CN"/>
        </w:rPr>
        <w:t>10日</w:t>
      </w:r>
    </w:p>
    <w:p>
      <w:pPr>
        <w:pStyle w:val="20"/>
        <w:spacing w:line="360" w:lineRule="auto"/>
        <w:ind w:left="136"/>
        <w:outlineLvl w:val="9"/>
        <w:rPr>
          <w:rFonts w:ascii="仿宋" w:hAnsi="仿宋" w:eastAsia="仿宋"/>
          <w:sz w:val="28"/>
          <w:szCs w:val="24"/>
          <w:lang w:eastAsia="zh-CN"/>
        </w:rPr>
      </w:pPr>
      <w:bookmarkStart w:id="148" w:name="_Toc45121111"/>
      <w:bookmarkStart w:id="149" w:name="_Toc56777277"/>
      <w:bookmarkStart w:id="150" w:name="_Toc45964130"/>
      <w:bookmarkStart w:id="151" w:name="_Toc61275826"/>
      <w:bookmarkStart w:id="152" w:name="_Toc56952453"/>
      <w:bookmarkStart w:id="153" w:name="_Toc56777407"/>
      <w:bookmarkStart w:id="154" w:name="_Toc56777498"/>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48"/>
      <w:bookmarkEnd w:id="149"/>
      <w:bookmarkEnd w:id="150"/>
      <w:bookmarkEnd w:id="151"/>
      <w:bookmarkEnd w:id="152"/>
      <w:bookmarkEnd w:id="153"/>
      <w:bookmarkEnd w:id="154"/>
    </w:p>
    <w:p>
      <w:pPr>
        <w:adjustRightInd w:val="0"/>
        <w:snapToGrid w:val="0"/>
        <w:spacing w:line="360" w:lineRule="auto"/>
        <w:ind w:firstLine="556" w:firstLineChars="200"/>
        <w:rPr>
          <w:rFonts w:ascii="仿宋" w:hAnsi="仿宋" w:eastAsia="仿宋"/>
          <w:spacing w:val="-1"/>
          <w:sz w:val="28"/>
          <w:szCs w:val="24"/>
        </w:rPr>
      </w:pPr>
      <w:r>
        <w:rPr>
          <w:rFonts w:ascii="仿宋" w:hAnsi="仿宋" w:eastAsia="仿宋"/>
          <w:spacing w:val="-1"/>
          <w:sz w:val="28"/>
          <w:szCs w:val="24"/>
        </w:rPr>
        <w:t>确定公开听证时间，按《广东省重大行政决策听证规定》（广东省人民政府令第183号）的规定，已在听证会召开前听证公告已公示满一个月。</w:t>
      </w:r>
      <w:r>
        <w:rPr>
          <w:rFonts w:hint="eastAsia" w:ascii="仿宋" w:hAnsi="仿宋" w:eastAsia="仿宋"/>
          <w:spacing w:val="-1"/>
          <w:sz w:val="28"/>
          <w:szCs w:val="24"/>
        </w:rPr>
        <w:t>和平县自然资源局</w:t>
      </w:r>
      <w:r>
        <w:rPr>
          <w:rFonts w:ascii="仿宋" w:hAnsi="仿宋" w:eastAsia="仿宋"/>
          <w:spacing w:val="-1"/>
          <w:sz w:val="28"/>
          <w:szCs w:val="24"/>
        </w:rPr>
        <w:t>邀请了听证单位参加听证会。听证会于20</w:t>
      </w:r>
      <w:r>
        <w:rPr>
          <w:rFonts w:hint="eastAsia" w:ascii="仿宋" w:hAnsi="仿宋" w:eastAsia="仿宋"/>
          <w:spacing w:val="-1"/>
          <w:sz w:val="28"/>
          <w:szCs w:val="24"/>
        </w:rPr>
        <w:t>20</w:t>
      </w:r>
      <w:r>
        <w:rPr>
          <w:rFonts w:ascii="仿宋" w:hAnsi="仿宋" w:eastAsia="仿宋"/>
          <w:spacing w:val="-1"/>
          <w:sz w:val="28"/>
          <w:szCs w:val="24"/>
        </w:rPr>
        <w:t>年</w:t>
      </w:r>
      <w:r>
        <w:rPr>
          <w:rFonts w:hint="eastAsia" w:ascii="仿宋" w:hAnsi="仿宋" w:eastAsia="仿宋"/>
          <w:spacing w:val="-1"/>
          <w:sz w:val="28"/>
          <w:szCs w:val="24"/>
        </w:rPr>
        <w:t>11</w:t>
      </w:r>
      <w:r>
        <w:rPr>
          <w:rFonts w:ascii="仿宋" w:hAnsi="仿宋" w:eastAsia="仿宋"/>
          <w:spacing w:val="-1"/>
          <w:sz w:val="28"/>
          <w:szCs w:val="24"/>
        </w:rPr>
        <w:t>月</w:t>
      </w:r>
      <w:r>
        <w:rPr>
          <w:rFonts w:hint="eastAsia" w:ascii="仿宋" w:hAnsi="仿宋" w:eastAsia="仿宋"/>
          <w:spacing w:val="-1"/>
          <w:sz w:val="28"/>
          <w:szCs w:val="24"/>
        </w:rPr>
        <w:t>10</w:t>
      </w:r>
      <w:r>
        <w:rPr>
          <w:rFonts w:ascii="仿宋" w:hAnsi="仿宋" w:eastAsia="仿宋"/>
          <w:spacing w:val="-1"/>
          <w:sz w:val="28"/>
          <w:szCs w:val="24"/>
        </w:rPr>
        <w:t>日上午在</w:t>
      </w:r>
      <w:r>
        <w:rPr>
          <w:rFonts w:hint="eastAsia" w:ascii="仿宋" w:hAnsi="仿宋" w:eastAsia="仿宋"/>
          <w:spacing w:val="-1"/>
          <w:sz w:val="28"/>
          <w:szCs w:val="24"/>
        </w:rPr>
        <w:t>和平县自然资源局</w:t>
      </w:r>
      <w:r>
        <w:rPr>
          <w:rFonts w:ascii="仿宋" w:hAnsi="仿宋" w:eastAsia="仿宋"/>
          <w:spacing w:val="-1"/>
          <w:sz w:val="28"/>
          <w:szCs w:val="24"/>
        </w:rPr>
        <w:t>举行，技术承担单位认真听取了听证代表的意见，并根据意见情况回复并采纳修改相关成果。听证后对修改完善后的成果进行了整理并提交给了</w:t>
      </w:r>
      <w:r>
        <w:rPr>
          <w:rFonts w:hint="eastAsia" w:ascii="仿宋" w:hAnsi="仿宋" w:eastAsia="仿宋"/>
          <w:spacing w:val="-1"/>
          <w:sz w:val="28"/>
          <w:szCs w:val="24"/>
        </w:rPr>
        <w:t>和平县自然资源局</w:t>
      </w:r>
      <w:r>
        <w:rPr>
          <w:rFonts w:ascii="仿宋" w:hAnsi="仿宋" w:eastAsia="仿宋"/>
          <w:spacing w:val="-1"/>
          <w:sz w:val="28"/>
          <w:szCs w:val="24"/>
        </w:rPr>
        <w:t>。</w:t>
      </w:r>
    </w:p>
    <w:p>
      <w:pPr>
        <w:pStyle w:val="20"/>
        <w:spacing w:line="360" w:lineRule="auto"/>
        <w:ind w:left="136"/>
        <w:jc w:val="center"/>
        <w:outlineLvl w:val="9"/>
        <w:rPr>
          <w:rFonts w:ascii="仿宋" w:hAnsi="仿宋" w:eastAsia="仿宋"/>
          <w:sz w:val="24"/>
          <w:lang w:eastAsia="zh-CN"/>
        </w:rPr>
      </w:pPr>
      <w:bookmarkStart w:id="155" w:name="_Toc56952454"/>
      <w:bookmarkStart w:id="156" w:name="_Toc56777408"/>
      <w:bookmarkStart w:id="157" w:name="_Toc56777499"/>
      <w:bookmarkStart w:id="158" w:name="_Toc56777278"/>
      <w:bookmarkStart w:id="159" w:name="_Toc61275827"/>
      <w:r>
        <w:rPr>
          <w:rFonts w:hint="eastAsia" w:ascii="仿宋" w:hAnsi="仿宋" w:eastAsia="仿宋"/>
          <w:sz w:val="24"/>
          <w:lang w:eastAsia="zh-CN"/>
        </w:rPr>
        <w:t>表2-2 听证代表意见汇总表</w:t>
      </w:r>
      <w:bookmarkEnd w:id="155"/>
      <w:bookmarkEnd w:id="156"/>
      <w:bookmarkEnd w:id="157"/>
      <w:bookmarkEnd w:id="158"/>
      <w:bookmarkEnd w:id="159"/>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150"/>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23" w:type="dxa"/>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单位</w:t>
            </w:r>
          </w:p>
        </w:tc>
        <w:tc>
          <w:tcPr>
            <w:tcW w:w="3150" w:type="dxa"/>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听证代表意见</w:t>
            </w:r>
          </w:p>
        </w:tc>
        <w:tc>
          <w:tcPr>
            <w:tcW w:w="3849" w:type="dxa"/>
            <w:shd w:val="clear" w:color="auto" w:fill="auto"/>
            <w:noWrap/>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意见答复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和平县发改局</w:t>
            </w:r>
          </w:p>
        </w:tc>
        <w:tc>
          <w:tcPr>
            <w:tcW w:w="3150"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无意见</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1"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和平县财政局</w:t>
            </w:r>
          </w:p>
        </w:tc>
        <w:tc>
          <w:tcPr>
            <w:tcW w:w="3150" w:type="dxa"/>
            <w:shd w:val="clear" w:color="auto" w:fill="auto"/>
            <w:vAlign w:val="center"/>
          </w:tcPr>
          <w:p>
            <w:pPr>
              <w:widowControl/>
              <w:jc w:val="center"/>
              <w:rPr>
                <w:rFonts w:ascii="仿宋" w:hAnsi="仿宋" w:eastAsia="仿宋" w:cs="宋体"/>
                <w:color w:val="000000"/>
                <w:szCs w:val="24"/>
              </w:rPr>
            </w:pPr>
            <w:r>
              <w:rPr>
                <w:rFonts w:hint="eastAsia" w:ascii="仿宋" w:hAnsi="仿宋" w:eastAsia="仿宋"/>
                <w:spacing w:val="-1"/>
                <w:szCs w:val="24"/>
              </w:rPr>
              <w:t>标定地价的主要作用体现在哪些方面？</w:t>
            </w:r>
          </w:p>
        </w:tc>
        <w:tc>
          <w:tcPr>
            <w:tcW w:w="3849" w:type="dxa"/>
            <w:shd w:val="clear" w:color="auto" w:fill="auto"/>
            <w:vAlign w:val="center"/>
          </w:tcPr>
          <w:p>
            <w:pPr>
              <w:widowControl/>
              <w:jc w:val="center"/>
              <w:rPr>
                <w:rFonts w:ascii="仿宋" w:hAnsi="仿宋" w:eastAsia="仿宋" w:cs="宋体"/>
                <w:color w:val="000000"/>
                <w:szCs w:val="24"/>
              </w:rPr>
            </w:pPr>
            <w:r>
              <w:rPr>
                <w:rFonts w:ascii="仿宋" w:hAnsi="仿宋" w:eastAsia="仿宋"/>
                <w:spacing w:val="-1"/>
                <w:szCs w:val="24"/>
              </w:rPr>
              <w:t>标定地价</w:t>
            </w:r>
            <w:r>
              <w:rPr>
                <w:rFonts w:hint="eastAsia" w:ascii="仿宋" w:hAnsi="仿宋" w:eastAsia="仿宋"/>
                <w:spacing w:val="-1"/>
                <w:szCs w:val="24"/>
              </w:rPr>
              <w:t>在</w:t>
            </w:r>
            <w:r>
              <w:rPr>
                <w:rFonts w:ascii="仿宋" w:hAnsi="仿宋" w:eastAsia="仿宋"/>
                <w:spacing w:val="-1"/>
                <w:szCs w:val="24"/>
              </w:rPr>
              <w:t>为国有土地使用权出让评估提供依据，为政府进行土地管理及制定宏观政策提供参考，有利于进一步规范房地产市场交易主体的行为，落实地价政策</w:t>
            </w:r>
            <w:r>
              <w:rPr>
                <w:rFonts w:hint="eastAsia" w:ascii="仿宋" w:hAnsi="仿宋" w:eastAsia="仿宋"/>
                <w:spacing w:val="-1"/>
                <w:szCs w:val="24"/>
              </w:rPr>
              <w:t>等方面具有重大意义。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和平县住建局</w:t>
            </w:r>
          </w:p>
        </w:tc>
        <w:tc>
          <w:tcPr>
            <w:tcW w:w="3150"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无意见</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和平县统计局</w:t>
            </w:r>
          </w:p>
        </w:tc>
        <w:tc>
          <w:tcPr>
            <w:tcW w:w="3150" w:type="dxa"/>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报告里能否进一步说明农用地、宅基地的租赁使用明细等方面的内容？</w:t>
            </w:r>
          </w:p>
        </w:tc>
        <w:tc>
          <w:tcPr>
            <w:tcW w:w="3849" w:type="dxa"/>
            <w:shd w:val="clear" w:color="auto" w:fill="auto"/>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后续会对集体农用地技术报告内容进行补充。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和平县税务局</w:t>
            </w:r>
          </w:p>
        </w:tc>
        <w:tc>
          <w:tcPr>
            <w:tcW w:w="3150" w:type="dxa"/>
            <w:shd w:val="clear" w:color="auto" w:fill="auto"/>
            <w:noWrap/>
            <w:vAlign w:val="center"/>
          </w:tcPr>
          <w:p>
            <w:pPr>
              <w:pStyle w:val="4"/>
              <w:adjustRightInd w:val="0"/>
              <w:snapToGrid w:val="0"/>
              <w:spacing w:line="360" w:lineRule="auto"/>
              <w:ind w:left="0" w:firstLine="436" w:firstLineChars="200"/>
              <w:jc w:val="center"/>
              <w:rPr>
                <w:rFonts w:ascii="仿宋" w:hAnsi="仿宋" w:eastAsia="仿宋"/>
                <w:spacing w:val="-1"/>
                <w:sz w:val="22"/>
                <w:szCs w:val="24"/>
                <w:lang w:eastAsia="zh-CN"/>
              </w:rPr>
            </w:pPr>
            <w:r>
              <w:rPr>
                <w:rFonts w:hint="eastAsia" w:ascii="仿宋" w:hAnsi="仿宋" w:eastAsia="仿宋"/>
                <w:spacing w:val="-1"/>
                <w:sz w:val="22"/>
                <w:szCs w:val="24"/>
                <w:lang w:eastAsia="zh-CN"/>
              </w:rPr>
              <w:t>税局在进行交易计税的时候，标定地价的结果是否会影响最低计税标准？</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spacing w:val="-1"/>
                <w:szCs w:val="24"/>
              </w:rPr>
              <w:t>计税标准应参考基准地价或国家出让土地的最低标准，标定地价主要为国有土地使用权出让评估提供价值参考依据。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和平县工信局</w:t>
            </w:r>
          </w:p>
        </w:tc>
        <w:tc>
          <w:tcPr>
            <w:tcW w:w="3150"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无意见</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cs="宋体"/>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和平县自然资源局</w:t>
            </w:r>
          </w:p>
        </w:tc>
        <w:tc>
          <w:tcPr>
            <w:tcW w:w="3150"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spacing w:val="-1"/>
                <w:szCs w:val="24"/>
              </w:rPr>
              <w:t>标定地价成果中未见住宅用途、公共服务用途的相应地块，是否应该补充完整？</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spacing w:val="-1"/>
                <w:szCs w:val="24"/>
              </w:rPr>
              <w:t>前期未收集到相应地块的资料，后续我们会进行相应用途地块的补充。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23" w:type="dxa"/>
            <w:shd w:val="clear" w:color="auto" w:fill="auto"/>
            <w:noWrap/>
            <w:vAlign w:val="center"/>
          </w:tcPr>
          <w:p>
            <w:pPr>
              <w:widowControl/>
              <w:jc w:val="center"/>
              <w:rPr>
                <w:rFonts w:ascii="仿宋" w:hAnsi="仿宋" w:eastAsia="仿宋" w:cs="宋体"/>
                <w:b/>
                <w:color w:val="000000"/>
                <w:szCs w:val="24"/>
              </w:rPr>
            </w:pPr>
            <w:r>
              <w:rPr>
                <w:rFonts w:hint="eastAsia" w:ascii="仿宋" w:hAnsi="仿宋" w:eastAsia="仿宋" w:cs="宋体"/>
                <w:b/>
                <w:color w:val="000000"/>
                <w:szCs w:val="24"/>
              </w:rPr>
              <w:t>和平县自然资源局</w:t>
            </w:r>
          </w:p>
        </w:tc>
        <w:tc>
          <w:tcPr>
            <w:tcW w:w="3150"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spacing w:val="-1"/>
                <w:szCs w:val="24"/>
              </w:rPr>
              <w:t>对地块的相关信息要认真处理，认真核算清楚。</w:t>
            </w:r>
          </w:p>
        </w:tc>
        <w:tc>
          <w:tcPr>
            <w:tcW w:w="3849" w:type="dxa"/>
            <w:shd w:val="clear" w:color="auto" w:fill="auto"/>
            <w:noWrap/>
            <w:vAlign w:val="center"/>
          </w:tcPr>
          <w:p>
            <w:pPr>
              <w:widowControl/>
              <w:jc w:val="center"/>
              <w:rPr>
                <w:rFonts w:ascii="仿宋" w:hAnsi="仿宋" w:eastAsia="仿宋" w:cs="宋体"/>
                <w:color w:val="000000"/>
                <w:szCs w:val="24"/>
              </w:rPr>
            </w:pPr>
            <w:r>
              <w:rPr>
                <w:rFonts w:hint="eastAsia" w:ascii="仿宋" w:hAnsi="仿宋" w:eastAsia="仿宋"/>
                <w:spacing w:val="-1"/>
                <w:szCs w:val="24"/>
              </w:rPr>
              <w:t>根据代表的意见核实修改。</w:t>
            </w:r>
          </w:p>
        </w:tc>
      </w:tr>
    </w:tbl>
    <w:p>
      <w:pPr>
        <w:pStyle w:val="2"/>
        <w:rPr>
          <w:rFonts w:ascii="仿宋" w:hAnsi="仿宋" w:eastAsia="仿宋"/>
          <w:sz w:val="28"/>
        </w:rPr>
      </w:pPr>
      <w:bookmarkStart w:id="160" w:name="_Toc61275828"/>
      <w:r>
        <w:rPr>
          <w:rFonts w:hint="eastAsia" w:ascii="仿宋" w:hAnsi="仿宋" w:eastAsia="仿宋"/>
          <w:sz w:val="28"/>
        </w:rPr>
        <w:t>（九）成果评审及验收阶段</w:t>
      </w:r>
      <w:bookmarkEnd w:id="160"/>
    </w:p>
    <w:p>
      <w:pPr>
        <w:pStyle w:val="20"/>
        <w:spacing w:line="360" w:lineRule="auto"/>
        <w:ind w:left="136"/>
        <w:outlineLvl w:val="9"/>
        <w:rPr>
          <w:rFonts w:ascii="仿宋" w:hAnsi="仿宋" w:eastAsia="仿宋"/>
          <w:sz w:val="28"/>
          <w:szCs w:val="24"/>
          <w:lang w:eastAsia="zh-CN"/>
        </w:rPr>
      </w:pPr>
      <w:bookmarkStart w:id="161" w:name="_Toc56777279"/>
      <w:bookmarkStart w:id="162" w:name="_Toc45121113"/>
      <w:bookmarkStart w:id="163" w:name="_Toc56777500"/>
      <w:bookmarkStart w:id="164" w:name="_Toc61275829"/>
      <w:bookmarkStart w:id="165" w:name="_Toc56777409"/>
      <w:bookmarkStart w:id="166" w:name="_Toc56952455"/>
      <w:bookmarkStart w:id="167" w:name="_Toc45964133"/>
      <w:r>
        <w:rPr>
          <w:rFonts w:hint="eastAsia" w:ascii="仿宋" w:hAnsi="仿宋" w:eastAsia="仿宋"/>
          <w:sz w:val="28"/>
          <w:szCs w:val="24"/>
          <w:lang w:eastAsia="zh-CN"/>
        </w:rPr>
        <w:t>1、时间安排</w:t>
      </w:r>
      <w:bookmarkEnd w:id="161"/>
      <w:bookmarkEnd w:id="162"/>
      <w:bookmarkEnd w:id="163"/>
      <w:bookmarkEnd w:id="164"/>
      <w:bookmarkEnd w:id="165"/>
      <w:bookmarkEnd w:id="166"/>
      <w:bookmarkEnd w:id="167"/>
    </w:p>
    <w:p>
      <w:pPr>
        <w:pStyle w:val="4"/>
        <w:spacing w:before="90" w:line="312" w:lineRule="auto"/>
        <w:ind w:right="148" w:firstLine="559"/>
        <w:jc w:val="both"/>
        <w:rPr>
          <w:rFonts w:ascii="仿宋" w:hAnsi="仿宋" w:eastAsia="仿宋"/>
          <w:spacing w:val="-1"/>
          <w:szCs w:val="24"/>
          <w:lang w:eastAsia="zh-CN"/>
        </w:rPr>
      </w:pPr>
      <w:bookmarkStart w:id="168" w:name="_Toc45964134"/>
      <w:bookmarkStart w:id="169" w:name="_Toc45121115"/>
      <w:r>
        <w:rPr>
          <w:rFonts w:ascii="仿宋" w:hAnsi="仿宋" w:eastAsia="仿宋"/>
          <w:spacing w:val="-1"/>
          <w:szCs w:val="24"/>
          <w:lang w:eastAsia="zh-CN"/>
        </w:rPr>
        <w:t>20</w:t>
      </w:r>
      <w:r>
        <w:rPr>
          <w:rFonts w:hint="eastAsia" w:ascii="仿宋" w:hAnsi="仿宋" w:eastAsia="仿宋"/>
          <w:spacing w:val="-1"/>
          <w:szCs w:val="24"/>
          <w:lang w:eastAsia="zh-CN"/>
        </w:rPr>
        <w:t>20</w:t>
      </w:r>
      <w:r>
        <w:rPr>
          <w:rFonts w:ascii="仿宋" w:hAnsi="仿宋" w:eastAsia="仿宋"/>
          <w:spacing w:val="-1"/>
          <w:szCs w:val="24"/>
          <w:lang w:eastAsia="zh-CN"/>
        </w:rPr>
        <w:t xml:space="preserve"> 年</w:t>
      </w:r>
      <w:r>
        <w:rPr>
          <w:rFonts w:hint="eastAsia" w:ascii="仿宋" w:hAnsi="仿宋" w:eastAsia="仿宋"/>
          <w:spacing w:val="-1"/>
          <w:szCs w:val="24"/>
          <w:lang w:eastAsia="zh-CN"/>
        </w:rPr>
        <w:t>12</w:t>
      </w:r>
      <w:r>
        <w:rPr>
          <w:rFonts w:ascii="仿宋" w:hAnsi="仿宋" w:eastAsia="仿宋"/>
          <w:spacing w:val="-1"/>
          <w:szCs w:val="24"/>
          <w:lang w:eastAsia="zh-CN"/>
        </w:rPr>
        <w:t>月</w:t>
      </w:r>
      <w:bookmarkEnd w:id="168"/>
      <w:r>
        <w:rPr>
          <w:rFonts w:hint="eastAsia" w:ascii="仿宋" w:hAnsi="仿宋" w:eastAsia="仿宋"/>
          <w:spacing w:val="-1"/>
          <w:szCs w:val="24"/>
          <w:lang w:eastAsia="zh-CN"/>
        </w:rPr>
        <w:t>9日</w:t>
      </w:r>
    </w:p>
    <w:p>
      <w:pPr>
        <w:pStyle w:val="20"/>
        <w:spacing w:line="360" w:lineRule="auto"/>
        <w:ind w:left="136"/>
        <w:outlineLvl w:val="9"/>
        <w:rPr>
          <w:rFonts w:ascii="仿宋" w:hAnsi="仿宋" w:eastAsia="仿宋"/>
          <w:sz w:val="28"/>
          <w:szCs w:val="24"/>
          <w:lang w:eastAsia="zh-CN"/>
        </w:rPr>
      </w:pPr>
      <w:bookmarkStart w:id="170" w:name="_Toc45964135"/>
      <w:bookmarkStart w:id="171" w:name="_Toc61275830"/>
      <w:bookmarkStart w:id="172" w:name="_Toc56777280"/>
      <w:bookmarkStart w:id="173" w:name="_Toc56952456"/>
      <w:bookmarkStart w:id="174" w:name="_Toc56777410"/>
      <w:bookmarkStart w:id="175" w:name="_Toc56777501"/>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69"/>
      <w:bookmarkEnd w:id="170"/>
      <w:bookmarkEnd w:id="171"/>
      <w:bookmarkEnd w:id="172"/>
      <w:bookmarkEnd w:id="173"/>
      <w:bookmarkEnd w:id="174"/>
      <w:bookmarkEnd w:id="175"/>
    </w:p>
    <w:p>
      <w:pPr>
        <w:pStyle w:val="4"/>
        <w:spacing w:before="90" w:line="360" w:lineRule="auto"/>
        <w:ind w:left="136" w:right="147" w:firstLine="561"/>
        <w:jc w:val="both"/>
        <w:rPr>
          <w:rFonts w:ascii="仿宋" w:hAnsi="仿宋" w:eastAsia="仿宋"/>
          <w:spacing w:val="-1"/>
          <w:sz w:val="32"/>
          <w:lang w:eastAsia="zh-CN"/>
        </w:rPr>
      </w:pPr>
      <w:r>
        <w:rPr>
          <w:rFonts w:ascii="仿宋" w:hAnsi="仿宋" w:eastAsia="仿宋"/>
          <w:spacing w:val="-1"/>
          <w:szCs w:val="24"/>
          <w:lang w:eastAsia="zh-CN"/>
        </w:rPr>
        <w:t>成果听证会后，进入到成果验收阶段。由</w:t>
      </w:r>
      <w:r>
        <w:rPr>
          <w:rFonts w:hint="eastAsia" w:ascii="仿宋" w:hAnsi="仿宋" w:eastAsia="仿宋"/>
          <w:spacing w:val="-1"/>
          <w:szCs w:val="24"/>
          <w:lang w:eastAsia="zh-CN"/>
        </w:rPr>
        <w:t>和平县</w:t>
      </w:r>
      <w:r>
        <w:rPr>
          <w:rFonts w:ascii="仿宋" w:hAnsi="仿宋" w:eastAsia="仿宋"/>
          <w:spacing w:val="-1"/>
          <w:szCs w:val="24"/>
          <w:lang w:eastAsia="zh-CN"/>
        </w:rPr>
        <w:t>自然资源局向</w:t>
      </w:r>
      <w:r>
        <w:rPr>
          <w:rFonts w:hint="eastAsia" w:ascii="仿宋" w:hAnsi="仿宋" w:eastAsia="仿宋"/>
          <w:spacing w:val="-1"/>
          <w:szCs w:val="24"/>
          <w:lang w:eastAsia="zh-CN"/>
        </w:rPr>
        <w:t>河源市</w:t>
      </w:r>
      <w:r>
        <w:rPr>
          <w:rFonts w:ascii="仿宋" w:hAnsi="仿宋" w:eastAsia="仿宋"/>
          <w:spacing w:val="-1"/>
          <w:szCs w:val="24"/>
          <w:lang w:eastAsia="zh-CN"/>
        </w:rPr>
        <w:t>自然资源局申请组织有关专家，就技术问题进行专家验收</w:t>
      </w:r>
      <w:r>
        <w:rPr>
          <w:rFonts w:ascii="仿宋" w:hAnsi="仿宋" w:eastAsia="仿宋"/>
          <w:spacing w:val="-1"/>
          <w:sz w:val="32"/>
          <w:lang w:eastAsia="zh-CN"/>
        </w:rPr>
        <w:t>，</w:t>
      </w:r>
      <w:r>
        <w:rPr>
          <w:rFonts w:ascii="仿宋" w:hAnsi="仿宋" w:eastAsia="仿宋"/>
          <w:spacing w:val="-1"/>
          <w:szCs w:val="24"/>
          <w:lang w:eastAsia="zh-CN"/>
        </w:rPr>
        <w:t>技术承担单位就评审意见进行总结提炼，将修改完善后的成果提交到</w:t>
      </w:r>
      <w:r>
        <w:rPr>
          <w:rFonts w:hint="eastAsia" w:ascii="仿宋" w:hAnsi="仿宋" w:eastAsia="仿宋"/>
          <w:spacing w:val="-1"/>
          <w:szCs w:val="24"/>
          <w:lang w:eastAsia="zh-CN"/>
        </w:rPr>
        <w:t>和平县</w:t>
      </w:r>
      <w:r>
        <w:rPr>
          <w:rFonts w:ascii="仿宋" w:hAnsi="仿宋" w:eastAsia="仿宋"/>
          <w:spacing w:val="-1"/>
          <w:szCs w:val="24"/>
          <w:lang w:eastAsia="zh-CN"/>
        </w:rPr>
        <w:t>自然资源局验收，验收结束后由技术承担单位根据验收组意见对项目成果报告中存在的个别问题进行修改完善。</w:t>
      </w:r>
    </w:p>
    <w:p>
      <w:pPr>
        <w:pStyle w:val="2"/>
        <w:rPr>
          <w:rFonts w:ascii="仿宋" w:hAnsi="仿宋" w:eastAsia="仿宋"/>
          <w:sz w:val="28"/>
        </w:rPr>
      </w:pPr>
      <w:bookmarkStart w:id="176" w:name="_Toc61275831"/>
      <w:r>
        <w:rPr>
          <w:rFonts w:hint="eastAsia" w:ascii="仿宋" w:hAnsi="仿宋" w:eastAsia="仿宋"/>
          <w:sz w:val="28"/>
        </w:rPr>
        <w:t>（十）成果提交阶段</w:t>
      </w:r>
      <w:bookmarkEnd w:id="176"/>
    </w:p>
    <w:p>
      <w:pPr>
        <w:pStyle w:val="20"/>
        <w:spacing w:line="360" w:lineRule="auto"/>
        <w:ind w:left="136"/>
        <w:outlineLvl w:val="9"/>
        <w:rPr>
          <w:rFonts w:ascii="仿宋" w:hAnsi="仿宋" w:eastAsia="仿宋"/>
          <w:sz w:val="28"/>
          <w:szCs w:val="24"/>
          <w:lang w:eastAsia="zh-CN"/>
        </w:rPr>
      </w:pPr>
      <w:bookmarkStart w:id="177" w:name="_Toc56952457"/>
      <w:bookmarkStart w:id="178" w:name="_Toc56777281"/>
      <w:bookmarkStart w:id="179" w:name="_Toc56777502"/>
      <w:bookmarkStart w:id="180" w:name="_Toc56777411"/>
      <w:bookmarkStart w:id="181" w:name="_Toc61275832"/>
      <w:r>
        <w:rPr>
          <w:rFonts w:hint="eastAsia" w:ascii="仿宋" w:hAnsi="仿宋" w:eastAsia="仿宋"/>
          <w:sz w:val="28"/>
          <w:szCs w:val="24"/>
          <w:lang w:eastAsia="zh-CN"/>
        </w:rPr>
        <w:t>1、时间安排</w:t>
      </w:r>
      <w:bookmarkEnd w:id="177"/>
      <w:bookmarkEnd w:id="178"/>
      <w:bookmarkEnd w:id="179"/>
      <w:bookmarkEnd w:id="180"/>
      <w:bookmarkEnd w:id="181"/>
    </w:p>
    <w:p>
      <w:pPr>
        <w:pStyle w:val="4"/>
        <w:spacing w:before="90" w:line="360" w:lineRule="auto"/>
        <w:ind w:right="148" w:firstLine="559"/>
        <w:jc w:val="both"/>
        <w:rPr>
          <w:rFonts w:ascii="仿宋" w:hAnsi="仿宋" w:eastAsia="仿宋"/>
          <w:spacing w:val="-1"/>
          <w:szCs w:val="24"/>
          <w:lang w:eastAsia="zh-CN"/>
        </w:rPr>
      </w:pPr>
      <w:r>
        <w:rPr>
          <w:rFonts w:hint="eastAsia" w:ascii="仿宋" w:hAnsi="仿宋" w:eastAsia="仿宋"/>
          <w:spacing w:val="-1"/>
          <w:szCs w:val="24"/>
          <w:lang w:eastAsia="zh-CN"/>
        </w:rPr>
        <w:t>预</w:t>
      </w:r>
      <w:r>
        <w:rPr>
          <w:rFonts w:ascii="仿宋" w:hAnsi="仿宋" w:eastAsia="仿宋"/>
          <w:spacing w:val="-1"/>
          <w:szCs w:val="24"/>
          <w:lang w:eastAsia="zh-CN"/>
        </w:rPr>
        <w:t>计 20</w:t>
      </w:r>
      <w:r>
        <w:rPr>
          <w:rFonts w:hint="eastAsia" w:ascii="仿宋" w:hAnsi="仿宋" w:eastAsia="仿宋"/>
          <w:spacing w:val="-1"/>
          <w:szCs w:val="24"/>
          <w:lang w:eastAsia="zh-CN"/>
        </w:rPr>
        <w:t>20</w:t>
      </w:r>
      <w:r>
        <w:rPr>
          <w:rFonts w:ascii="仿宋" w:hAnsi="仿宋" w:eastAsia="仿宋"/>
          <w:spacing w:val="-1"/>
          <w:szCs w:val="24"/>
          <w:lang w:eastAsia="zh-CN"/>
        </w:rPr>
        <w:t xml:space="preserve"> 年</w:t>
      </w:r>
      <w:r>
        <w:rPr>
          <w:rFonts w:hint="eastAsia" w:ascii="仿宋" w:hAnsi="仿宋" w:eastAsia="仿宋"/>
          <w:spacing w:val="-1"/>
          <w:szCs w:val="24"/>
          <w:lang w:eastAsia="zh-CN"/>
        </w:rPr>
        <w:t>12</w:t>
      </w:r>
      <w:r>
        <w:rPr>
          <w:rFonts w:ascii="仿宋" w:hAnsi="仿宋" w:eastAsia="仿宋"/>
          <w:spacing w:val="-1"/>
          <w:szCs w:val="24"/>
          <w:lang w:eastAsia="zh-CN"/>
        </w:rPr>
        <w:t xml:space="preserve"> 月</w:t>
      </w:r>
      <w:r>
        <w:rPr>
          <w:rFonts w:hint="eastAsia" w:ascii="仿宋" w:hAnsi="仿宋" w:eastAsia="仿宋"/>
          <w:spacing w:val="-1"/>
          <w:szCs w:val="24"/>
          <w:lang w:eastAsia="zh-CN"/>
        </w:rPr>
        <w:t>中下旬</w:t>
      </w:r>
    </w:p>
    <w:p>
      <w:pPr>
        <w:pStyle w:val="20"/>
        <w:spacing w:line="360" w:lineRule="auto"/>
        <w:ind w:left="136"/>
        <w:outlineLvl w:val="9"/>
        <w:rPr>
          <w:rFonts w:ascii="仿宋" w:hAnsi="仿宋" w:eastAsia="仿宋"/>
          <w:sz w:val="28"/>
          <w:szCs w:val="24"/>
          <w:lang w:eastAsia="zh-CN"/>
        </w:rPr>
      </w:pPr>
      <w:bookmarkStart w:id="182" w:name="_Toc56777282"/>
      <w:bookmarkStart w:id="183" w:name="_Toc56777503"/>
      <w:bookmarkStart w:id="184" w:name="_Toc56777412"/>
      <w:bookmarkStart w:id="185" w:name="_Toc56952458"/>
      <w:bookmarkStart w:id="186" w:name="_Toc61275833"/>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82"/>
      <w:bookmarkEnd w:id="183"/>
      <w:bookmarkEnd w:id="184"/>
      <w:bookmarkEnd w:id="185"/>
      <w:bookmarkEnd w:id="186"/>
    </w:p>
    <w:p>
      <w:pPr>
        <w:pStyle w:val="4"/>
        <w:spacing w:before="90" w:line="360" w:lineRule="auto"/>
        <w:ind w:right="148" w:firstLine="559"/>
        <w:jc w:val="both"/>
        <w:rPr>
          <w:rFonts w:ascii="仿宋" w:hAnsi="仿宋" w:eastAsia="仿宋"/>
          <w:spacing w:val="-1"/>
          <w:sz w:val="24"/>
          <w:lang w:eastAsia="zh-CN"/>
        </w:rPr>
      </w:pPr>
      <w:bookmarkStart w:id="187" w:name="_Toc45964131"/>
      <w:r>
        <w:rPr>
          <w:rFonts w:ascii="仿宋" w:hAnsi="仿宋" w:eastAsia="仿宋"/>
          <w:spacing w:val="-1"/>
          <w:lang w:eastAsia="zh-CN"/>
        </w:rPr>
        <w:t>协助</w:t>
      </w:r>
      <w:r>
        <w:rPr>
          <w:rFonts w:hint="eastAsia" w:ascii="仿宋" w:hAnsi="仿宋" w:eastAsia="仿宋"/>
          <w:spacing w:val="-1"/>
          <w:lang w:eastAsia="zh-CN"/>
        </w:rPr>
        <w:t>和平县</w:t>
      </w:r>
      <w:r>
        <w:rPr>
          <w:rFonts w:ascii="仿宋" w:hAnsi="仿宋" w:eastAsia="仿宋"/>
          <w:spacing w:val="-1"/>
          <w:lang w:eastAsia="zh-CN"/>
        </w:rPr>
        <w:t>自然资源局编制上报文件，汇报材料、公布文件等资料，辅助完成成果上报市政府审批、 公布实施</w:t>
      </w:r>
      <w:r>
        <w:rPr>
          <w:rFonts w:ascii="仿宋" w:hAnsi="仿宋" w:eastAsia="仿宋"/>
          <w:spacing w:val="-1"/>
          <w:sz w:val="24"/>
          <w:lang w:eastAsia="zh-CN"/>
        </w:rPr>
        <w:t>。</w:t>
      </w:r>
      <w:bookmarkEnd w:id="187"/>
    </w:p>
    <w:p>
      <w:pPr>
        <w:pStyle w:val="2"/>
        <w:rPr>
          <w:rFonts w:ascii="仿宋" w:hAnsi="仿宋" w:eastAsia="仿宋"/>
          <w:sz w:val="28"/>
        </w:rPr>
      </w:pPr>
      <w:bookmarkStart w:id="188" w:name="_Toc61275834"/>
      <w:r>
        <w:rPr>
          <w:rFonts w:hint="eastAsia" w:ascii="仿宋" w:hAnsi="仿宋" w:eastAsia="仿宋"/>
          <w:sz w:val="28"/>
        </w:rPr>
        <w:t>（十一）成果备案阶段</w:t>
      </w:r>
      <w:bookmarkEnd w:id="188"/>
    </w:p>
    <w:p>
      <w:pPr>
        <w:pStyle w:val="20"/>
        <w:spacing w:line="360" w:lineRule="auto"/>
        <w:ind w:left="136"/>
        <w:outlineLvl w:val="9"/>
        <w:rPr>
          <w:rFonts w:ascii="仿宋" w:hAnsi="仿宋" w:eastAsia="仿宋"/>
          <w:sz w:val="28"/>
          <w:szCs w:val="24"/>
          <w:lang w:eastAsia="zh-CN"/>
        </w:rPr>
      </w:pPr>
      <w:bookmarkStart w:id="189" w:name="_Toc61275835"/>
      <w:bookmarkStart w:id="190" w:name="_Toc56952459"/>
      <w:bookmarkStart w:id="191" w:name="_Toc56777283"/>
      <w:bookmarkStart w:id="192" w:name="_Toc56777504"/>
      <w:bookmarkStart w:id="193" w:name="_Toc56777413"/>
      <w:r>
        <w:rPr>
          <w:rFonts w:hint="eastAsia" w:ascii="仿宋" w:hAnsi="仿宋" w:eastAsia="仿宋"/>
          <w:sz w:val="28"/>
          <w:szCs w:val="24"/>
          <w:lang w:eastAsia="zh-CN"/>
        </w:rPr>
        <w:t>1、时间安排</w:t>
      </w:r>
      <w:bookmarkEnd w:id="189"/>
      <w:bookmarkEnd w:id="190"/>
      <w:bookmarkEnd w:id="191"/>
      <w:bookmarkEnd w:id="192"/>
      <w:bookmarkEnd w:id="193"/>
    </w:p>
    <w:p>
      <w:pPr>
        <w:pStyle w:val="4"/>
        <w:spacing w:before="90" w:line="360" w:lineRule="auto"/>
        <w:ind w:right="148" w:firstLine="559"/>
        <w:jc w:val="both"/>
        <w:rPr>
          <w:rFonts w:ascii="仿宋" w:hAnsi="仿宋" w:eastAsia="仿宋"/>
          <w:spacing w:val="-1"/>
          <w:szCs w:val="24"/>
          <w:lang w:eastAsia="zh-CN"/>
        </w:rPr>
      </w:pPr>
      <w:r>
        <w:rPr>
          <w:rFonts w:hint="eastAsia" w:ascii="仿宋" w:hAnsi="仿宋" w:eastAsia="仿宋"/>
          <w:spacing w:val="-1"/>
          <w:szCs w:val="24"/>
          <w:lang w:eastAsia="zh-CN"/>
        </w:rPr>
        <w:t>预</w:t>
      </w:r>
      <w:r>
        <w:rPr>
          <w:rFonts w:ascii="仿宋" w:hAnsi="仿宋" w:eastAsia="仿宋"/>
          <w:spacing w:val="-1"/>
          <w:szCs w:val="24"/>
          <w:lang w:eastAsia="zh-CN"/>
        </w:rPr>
        <w:t>计 20</w:t>
      </w:r>
      <w:r>
        <w:rPr>
          <w:rFonts w:hint="eastAsia" w:ascii="仿宋" w:hAnsi="仿宋" w:eastAsia="仿宋"/>
          <w:spacing w:val="-1"/>
          <w:szCs w:val="24"/>
          <w:lang w:eastAsia="zh-CN"/>
        </w:rPr>
        <w:t>20</w:t>
      </w:r>
      <w:r>
        <w:rPr>
          <w:rFonts w:ascii="仿宋" w:hAnsi="仿宋" w:eastAsia="仿宋"/>
          <w:spacing w:val="-1"/>
          <w:szCs w:val="24"/>
          <w:lang w:eastAsia="zh-CN"/>
        </w:rPr>
        <w:t xml:space="preserve"> 年</w:t>
      </w:r>
      <w:r>
        <w:rPr>
          <w:rFonts w:hint="eastAsia" w:ascii="仿宋" w:hAnsi="仿宋" w:eastAsia="仿宋"/>
          <w:spacing w:val="-1"/>
          <w:szCs w:val="24"/>
          <w:lang w:eastAsia="zh-CN"/>
        </w:rPr>
        <w:t>12</w:t>
      </w:r>
      <w:r>
        <w:rPr>
          <w:rFonts w:ascii="仿宋" w:hAnsi="仿宋" w:eastAsia="仿宋"/>
          <w:spacing w:val="-1"/>
          <w:szCs w:val="24"/>
          <w:lang w:eastAsia="zh-CN"/>
        </w:rPr>
        <w:t>月</w:t>
      </w:r>
      <w:r>
        <w:rPr>
          <w:rFonts w:hint="eastAsia" w:ascii="仿宋" w:hAnsi="仿宋" w:eastAsia="仿宋"/>
          <w:spacing w:val="-1"/>
          <w:szCs w:val="24"/>
          <w:lang w:eastAsia="zh-CN"/>
        </w:rPr>
        <w:t>下</w:t>
      </w:r>
      <w:r>
        <w:rPr>
          <w:rFonts w:ascii="仿宋" w:hAnsi="仿宋" w:eastAsia="仿宋"/>
          <w:spacing w:val="-1"/>
          <w:szCs w:val="24"/>
          <w:lang w:eastAsia="zh-CN"/>
        </w:rPr>
        <w:t>旬</w:t>
      </w:r>
    </w:p>
    <w:p>
      <w:pPr>
        <w:pStyle w:val="20"/>
        <w:spacing w:line="360" w:lineRule="auto"/>
        <w:outlineLvl w:val="9"/>
        <w:rPr>
          <w:rFonts w:ascii="仿宋" w:hAnsi="仿宋" w:eastAsia="仿宋"/>
          <w:sz w:val="28"/>
          <w:szCs w:val="24"/>
          <w:lang w:eastAsia="zh-CN"/>
        </w:rPr>
      </w:pPr>
      <w:bookmarkStart w:id="194" w:name="_Toc56777284"/>
      <w:bookmarkStart w:id="195" w:name="_Toc56952460"/>
      <w:bookmarkStart w:id="196" w:name="_Toc56777505"/>
      <w:bookmarkStart w:id="197" w:name="_Toc61275836"/>
      <w:bookmarkStart w:id="198" w:name="_Toc56777414"/>
      <w:r>
        <w:rPr>
          <w:rFonts w:ascii="仿宋" w:hAnsi="仿宋" w:eastAsia="仿宋"/>
          <w:sz w:val="28"/>
          <w:szCs w:val="24"/>
          <w:lang w:eastAsia="zh-CN"/>
        </w:rPr>
        <w:t>2</w:t>
      </w:r>
      <w:r>
        <w:rPr>
          <w:rFonts w:hint="eastAsia" w:ascii="仿宋" w:hAnsi="仿宋" w:eastAsia="仿宋"/>
          <w:sz w:val="28"/>
          <w:szCs w:val="24"/>
          <w:lang w:eastAsia="zh-CN"/>
        </w:rPr>
        <w:t>、</w:t>
      </w:r>
      <w:r>
        <w:rPr>
          <w:rFonts w:ascii="仿宋" w:hAnsi="仿宋" w:eastAsia="仿宋"/>
          <w:sz w:val="28"/>
          <w:szCs w:val="24"/>
          <w:lang w:eastAsia="zh-CN"/>
        </w:rPr>
        <w:t>阶段工作内容</w:t>
      </w:r>
      <w:bookmarkEnd w:id="194"/>
      <w:bookmarkEnd w:id="195"/>
      <w:bookmarkEnd w:id="196"/>
      <w:bookmarkEnd w:id="197"/>
      <w:bookmarkEnd w:id="198"/>
    </w:p>
    <w:p>
      <w:pPr>
        <w:pStyle w:val="4"/>
        <w:spacing w:before="90" w:line="360" w:lineRule="auto"/>
        <w:ind w:right="148" w:firstLine="559"/>
        <w:jc w:val="both"/>
        <w:rPr>
          <w:rFonts w:ascii="仿宋" w:hAnsi="仿宋" w:eastAsia="仿宋"/>
          <w:spacing w:val="-1"/>
          <w:szCs w:val="24"/>
          <w:lang w:eastAsia="zh-CN"/>
        </w:rPr>
      </w:pPr>
      <w:bookmarkStart w:id="199" w:name="_Toc56777285"/>
      <w:bookmarkStart w:id="200" w:name="_Toc56952461"/>
      <w:bookmarkStart w:id="201" w:name="_Toc56777506"/>
      <w:bookmarkStart w:id="202" w:name="_Toc45964136"/>
      <w:bookmarkStart w:id="203" w:name="_Toc56777415"/>
      <w:r>
        <w:rPr>
          <w:rFonts w:ascii="仿宋" w:hAnsi="仿宋" w:eastAsia="仿宋"/>
          <w:spacing w:val="-1"/>
          <w:szCs w:val="24"/>
          <w:lang w:eastAsia="zh-CN"/>
        </w:rPr>
        <w:t>按照省厅要求成果备案进行系统更新。</w:t>
      </w:r>
      <w:bookmarkEnd w:id="199"/>
      <w:bookmarkEnd w:id="200"/>
      <w:bookmarkEnd w:id="201"/>
      <w:bookmarkEnd w:id="202"/>
      <w:bookmarkEnd w:id="203"/>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pStyle w:val="4"/>
        <w:spacing w:before="90" w:line="360" w:lineRule="auto"/>
        <w:ind w:right="148" w:firstLine="559"/>
        <w:jc w:val="both"/>
        <w:rPr>
          <w:rFonts w:ascii="仿宋" w:hAnsi="仿宋" w:eastAsia="仿宋"/>
          <w:spacing w:val="-1"/>
          <w:szCs w:val="24"/>
          <w:lang w:eastAsia="zh-CN"/>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04" w:name="_Toc61275837"/>
      <w:r>
        <w:rPr>
          <w:rFonts w:ascii="Times New Roman" w:hAnsi="Times New Roman" w:eastAsia="仿宋_GB2312" w:cs="Times New Roman"/>
          <w:b/>
          <w:kern w:val="0"/>
          <w:sz w:val="30"/>
          <w:szCs w:val="30"/>
        </w:rPr>
        <w:t>三、公示范围</w:t>
      </w:r>
      <w:bookmarkEnd w:id="204"/>
    </w:p>
    <w:p>
      <w:pPr>
        <w:spacing w:line="360" w:lineRule="auto"/>
        <w:ind w:left="108" w:right="28" w:firstLine="482"/>
        <w:rPr>
          <w:rFonts w:ascii="仿宋" w:hAnsi="仿宋" w:eastAsia="仿宋" w:cs="仿宋"/>
          <w:sz w:val="28"/>
          <w:szCs w:val="24"/>
        </w:rPr>
      </w:pPr>
      <w:r>
        <w:rPr>
          <w:rFonts w:ascii="仿宋" w:hAnsi="仿宋" w:eastAsia="仿宋" w:cs="仿宋"/>
          <w:sz w:val="28"/>
          <w:szCs w:val="24"/>
        </w:rPr>
        <w:t>和平县城镇国有建设用地标定地价的公示范围是由</w:t>
      </w:r>
      <w:r>
        <w:rPr>
          <w:rFonts w:hint="eastAsia" w:ascii="仿宋" w:hAnsi="仿宋" w:eastAsia="仿宋" w:cs="仿宋"/>
          <w:sz w:val="28"/>
          <w:szCs w:val="24"/>
        </w:rPr>
        <w:t>21</w:t>
      </w:r>
      <w:r>
        <w:rPr>
          <w:rFonts w:ascii="仿宋" w:hAnsi="仿宋" w:eastAsia="仿宋" w:cs="仿宋"/>
          <w:sz w:val="28"/>
          <w:szCs w:val="24"/>
        </w:rPr>
        <w:t>个标定区域连接构成的空间范围，公示范围土地面积约4.70平方公里。标定地价公示范围如下图所示</w:t>
      </w:r>
      <w:r>
        <w:rPr>
          <w:rFonts w:hint="eastAsia" w:ascii="仿宋" w:hAnsi="仿宋" w:eastAsia="仿宋" w:cs="仿宋"/>
          <w:sz w:val="28"/>
          <w:szCs w:val="24"/>
        </w:rPr>
        <w:t>：</w:t>
      </w:r>
    </w:p>
    <w:p>
      <w:pPr>
        <w:spacing w:before="156" w:beforeLines="50" w:after="156" w:afterLines="50" w:line="360" w:lineRule="auto"/>
        <w:ind w:firstLine="562" w:firstLineChars="200"/>
        <w:jc w:val="left"/>
        <w:rPr>
          <w:rFonts w:ascii="仿宋" w:hAnsi="仿宋" w:eastAsia="仿宋" w:cs="黑体"/>
          <w:b/>
          <w:sz w:val="28"/>
          <w:szCs w:val="28"/>
        </w:rPr>
      </w:pPr>
      <w:r>
        <w:rPr>
          <w:rFonts w:ascii="仿宋" w:hAnsi="仿宋" w:eastAsia="仿宋" w:cs="黑体"/>
          <w:b/>
          <w:sz w:val="28"/>
          <w:szCs w:val="28"/>
        </w:rPr>
        <w:drawing>
          <wp:inline distT="0" distB="0" distL="0" distR="0">
            <wp:extent cx="4787265" cy="6568440"/>
            <wp:effectExtent l="0" t="0" r="0" b="3810"/>
            <wp:docPr id="4" name="图片 21" descr="C:\Users\ADMINI~1\AppData\Local\Temp\WeChat Files\ffae29141a545df617e10d205424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C:\Users\ADMINI~1\AppData\Local\Temp\WeChat Files\ffae29141a545df617e10d205424b39.jpg"/>
                    <pic:cNvPicPr>
                      <a:picLocks noChangeAspect="1" noChangeArrowheads="1"/>
                    </pic:cNvPicPr>
                  </pic:nvPicPr>
                  <pic:blipFill>
                    <a:blip r:embed="rId6" cstate="print"/>
                    <a:srcRect l="2488" t="3286" r="2156" b="4108"/>
                    <a:stretch>
                      <a:fillRect/>
                    </a:stretch>
                  </pic:blipFill>
                  <pic:spPr>
                    <a:xfrm>
                      <a:off x="0" y="0"/>
                      <a:ext cx="4793820" cy="6577957"/>
                    </a:xfrm>
                    <a:prstGeom prst="rect">
                      <a:avLst/>
                    </a:prstGeom>
                    <a:noFill/>
                    <a:ln w="9525">
                      <a:noFill/>
                      <a:miter lim="800000"/>
                      <a:headEnd/>
                      <a:tailEnd/>
                    </a:ln>
                  </pic:spPr>
                </pic:pic>
              </a:graphicData>
            </a:graphic>
          </wp:inline>
        </w:drawing>
      </w:r>
    </w:p>
    <w:p>
      <w:pPr>
        <w:widowControl/>
        <w:adjustRightInd w:val="0"/>
        <w:snapToGrid w:val="0"/>
        <w:spacing w:line="360" w:lineRule="auto"/>
        <w:ind w:firstLine="498" w:firstLineChars="200"/>
        <w:jc w:val="center"/>
        <w:rPr>
          <w:rFonts w:ascii="Times New Roman" w:hAnsi="Times New Roman" w:eastAsia="仿宋_GB2312" w:cs="Times New Roman"/>
          <w:kern w:val="0"/>
          <w:sz w:val="32"/>
        </w:rPr>
      </w:pPr>
      <w:r>
        <w:rPr>
          <w:rFonts w:ascii="仿宋" w:hAnsi="仿宋" w:eastAsia="仿宋" w:cs="仿宋"/>
          <w:b/>
          <w:spacing w:val="14"/>
          <w:sz w:val="22"/>
          <w:szCs w:val="24"/>
        </w:rPr>
        <w:t>图</w:t>
      </w:r>
      <w:r>
        <w:rPr>
          <w:rFonts w:hint="eastAsia" w:ascii="仿宋" w:hAnsi="仿宋" w:eastAsia="仿宋" w:cs="Times New Roman"/>
          <w:b/>
          <w:bCs/>
          <w:spacing w:val="7"/>
          <w:sz w:val="22"/>
          <w:szCs w:val="24"/>
        </w:rPr>
        <w:t>3</w:t>
      </w:r>
      <w:r>
        <w:rPr>
          <w:rFonts w:ascii="仿宋" w:hAnsi="仿宋" w:eastAsia="仿宋" w:cs="Times New Roman"/>
          <w:b/>
          <w:bCs/>
          <w:spacing w:val="4"/>
          <w:sz w:val="22"/>
          <w:szCs w:val="24"/>
        </w:rPr>
        <w:t>-</w:t>
      </w:r>
      <w:r>
        <w:rPr>
          <w:rFonts w:hint="eastAsia" w:ascii="仿宋" w:hAnsi="仿宋" w:eastAsia="仿宋" w:cs="Times New Roman"/>
          <w:b/>
          <w:bCs/>
          <w:sz w:val="22"/>
          <w:szCs w:val="24"/>
        </w:rPr>
        <w:t>1</w:t>
      </w:r>
      <w:r>
        <w:rPr>
          <w:rFonts w:ascii="仿宋" w:hAnsi="仿宋" w:eastAsia="仿宋" w:cs="Times New Roman"/>
          <w:b/>
          <w:bCs/>
          <w:sz w:val="22"/>
          <w:szCs w:val="24"/>
        </w:rPr>
        <w:tab/>
      </w:r>
      <w:r>
        <w:rPr>
          <w:rFonts w:ascii="仿宋" w:hAnsi="仿宋" w:eastAsia="仿宋" w:cs="仿宋"/>
          <w:b/>
          <w:spacing w:val="14"/>
          <w:sz w:val="22"/>
          <w:szCs w:val="24"/>
        </w:rPr>
        <w:t>和平县</w:t>
      </w:r>
      <w:r>
        <w:rPr>
          <w:rFonts w:ascii="仿宋" w:hAnsi="仿宋" w:eastAsia="仿宋" w:cs="仿宋"/>
          <w:b/>
          <w:spacing w:val="12"/>
          <w:sz w:val="22"/>
          <w:szCs w:val="24"/>
        </w:rPr>
        <w:t>城镇</w:t>
      </w:r>
      <w:r>
        <w:rPr>
          <w:rFonts w:ascii="仿宋" w:hAnsi="仿宋" w:eastAsia="仿宋" w:cs="仿宋"/>
          <w:b/>
          <w:spacing w:val="14"/>
          <w:sz w:val="22"/>
          <w:szCs w:val="24"/>
        </w:rPr>
        <w:t>国</w:t>
      </w:r>
      <w:r>
        <w:rPr>
          <w:rFonts w:ascii="仿宋" w:hAnsi="仿宋" w:eastAsia="仿宋" w:cs="仿宋"/>
          <w:b/>
          <w:spacing w:val="12"/>
          <w:sz w:val="22"/>
          <w:szCs w:val="24"/>
        </w:rPr>
        <w:t>有</w:t>
      </w:r>
      <w:r>
        <w:rPr>
          <w:rFonts w:ascii="仿宋" w:hAnsi="仿宋" w:eastAsia="仿宋" w:cs="仿宋"/>
          <w:b/>
          <w:spacing w:val="14"/>
          <w:sz w:val="22"/>
          <w:szCs w:val="24"/>
        </w:rPr>
        <w:t>建</w:t>
      </w:r>
      <w:r>
        <w:rPr>
          <w:rFonts w:ascii="仿宋" w:hAnsi="仿宋" w:eastAsia="仿宋" w:cs="仿宋"/>
          <w:b/>
          <w:spacing w:val="12"/>
          <w:sz w:val="22"/>
          <w:szCs w:val="24"/>
        </w:rPr>
        <w:t>设</w:t>
      </w:r>
      <w:r>
        <w:rPr>
          <w:rFonts w:ascii="仿宋" w:hAnsi="仿宋" w:eastAsia="仿宋" w:cs="仿宋"/>
          <w:b/>
          <w:spacing w:val="14"/>
          <w:sz w:val="22"/>
          <w:szCs w:val="24"/>
        </w:rPr>
        <w:t>用</w:t>
      </w:r>
      <w:r>
        <w:rPr>
          <w:rFonts w:ascii="仿宋" w:hAnsi="仿宋" w:eastAsia="仿宋" w:cs="仿宋"/>
          <w:b/>
          <w:spacing w:val="12"/>
          <w:sz w:val="22"/>
          <w:szCs w:val="24"/>
        </w:rPr>
        <w:t>地</w:t>
      </w:r>
      <w:r>
        <w:rPr>
          <w:rFonts w:ascii="仿宋" w:hAnsi="仿宋" w:eastAsia="仿宋" w:cs="仿宋"/>
          <w:b/>
          <w:spacing w:val="14"/>
          <w:sz w:val="22"/>
          <w:szCs w:val="24"/>
        </w:rPr>
        <w:t>标</w:t>
      </w:r>
      <w:r>
        <w:rPr>
          <w:rFonts w:ascii="仿宋" w:hAnsi="仿宋" w:eastAsia="仿宋" w:cs="仿宋"/>
          <w:b/>
          <w:spacing w:val="12"/>
          <w:sz w:val="22"/>
          <w:szCs w:val="24"/>
        </w:rPr>
        <w:t>定地</w:t>
      </w:r>
      <w:r>
        <w:rPr>
          <w:rFonts w:ascii="仿宋" w:hAnsi="仿宋" w:eastAsia="仿宋" w:cs="仿宋"/>
          <w:b/>
          <w:spacing w:val="18"/>
          <w:sz w:val="22"/>
          <w:szCs w:val="24"/>
        </w:rPr>
        <w:t>价</w:t>
      </w:r>
      <w:r>
        <w:rPr>
          <w:rFonts w:ascii="仿宋" w:hAnsi="仿宋" w:eastAsia="仿宋" w:cs="仿宋"/>
          <w:b/>
          <w:spacing w:val="12"/>
          <w:sz w:val="22"/>
          <w:szCs w:val="24"/>
        </w:rPr>
        <w:t>公</w:t>
      </w:r>
      <w:r>
        <w:rPr>
          <w:rFonts w:ascii="仿宋" w:hAnsi="仿宋" w:eastAsia="仿宋" w:cs="仿宋"/>
          <w:b/>
          <w:spacing w:val="14"/>
          <w:sz w:val="22"/>
          <w:szCs w:val="24"/>
        </w:rPr>
        <w:t>示</w:t>
      </w:r>
      <w:r>
        <w:rPr>
          <w:rFonts w:ascii="仿宋" w:hAnsi="仿宋" w:eastAsia="仿宋" w:cs="仿宋"/>
          <w:b/>
          <w:spacing w:val="12"/>
          <w:sz w:val="22"/>
          <w:szCs w:val="24"/>
        </w:rPr>
        <w:t>范</w:t>
      </w:r>
      <w:r>
        <w:rPr>
          <w:rFonts w:ascii="仿宋" w:hAnsi="仿宋" w:eastAsia="仿宋" w:cs="仿宋"/>
          <w:b/>
          <w:spacing w:val="14"/>
          <w:sz w:val="22"/>
          <w:szCs w:val="24"/>
        </w:rPr>
        <w:t>围</w:t>
      </w:r>
      <w:r>
        <w:rPr>
          <w:rFonts w:ascii="仿宋" w:hAnsi="仿宋" w:eastAsia="仿宋" w:cs="仿宋"/>
          <w:b/>
          <w:spacing w:val="12"/>
          <w:sz w:val="22"/>
          <w:szCs w:val="24"/>
        </w:rPr>
        <w:t>示</w:t>
      </w:r>
      <w:r>
        <w:rPr>
          <w:rFonts w:ascii="仿宋" w:hAnsi="仿宋" w:eastAsia="仿宋" w:cs="仿宋"/>
          <w:b/>
          <w:spacing w:val="14"/>
          <w:sz w:val="22"/>
          <w:szCs w:val="24"/>
        </w:rPr>
        <w:t>意</w:t>
      </w:r>
      <w:r>
        <w:rPr>
          <w:rFonts w:ascii="仿宋" w:hAnsi="仿宋" w:eastAsia="仿宋" w:cs="仿宋"/>
          <w:b/>
          <w:sz w:val="22"/>
          <w:szCs w:val="24"/>
        </w:rPr>
        <w:t>图</w:t>
      </w: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05" w:name="_Toc61275838"/>
      <w:r>
        <w:rPr>
          <w:rFonts w:ascii="Times New Roman" w:hAnsi="Times New Roman" w:eastAsia="仿宋_GB2312" w:cs="Times New Roman"/>
          <w:b/>
          <w:kern w:val="0"/>
          <w:sz w:val="30"/>
          <w:szCs w:val="30"/>
        </w:rPr>
        <w:t>四、布设情况介绍</w:t>
      </w:r>
      <w:bookmarkEnd w:id="205"/>
    </w:p>
    <w:p>
      <w:pPr>
        <w:widowControl/>
        <w:adjustRightInd w:val="0"/>
        <w:snapToGrid w:val="0"/>
        <w:spacing w:line="360" w:lineRule="auto"/>
        <w:jc w:val="left"/>
        <w:outlineLvl w:val="1"/>
        <w:rPr>
          <w:rFonts w:ascii="Times New Roman" w:hAnsi="Times New Roman" w:eastAsia="仿宋_GB2312" w:cs="Times New Roman"/>
          <w:b/>
          <w:kern w:val="0"/>
          <w:sz w:val="28"/>
        </w:rPr>
      </w:pPr>
      <w:bookmarkStart w:id="206" w:name="_Toc61275839"/>
      <w:r>
        <w:rPr>
          <w:rFonts w:ascii="Times New Roman" w:hAnsi="Times New Roman" w:eastAsia="仿宋_GB2312" w:cs="Times New Roman"/>
          <w:b/>
          <w:kern w:val="0"/>
          <w:sz w:val="28"/>
        </w:rPr>
        <w:t>（一）标定区域的划分情况</w:t>
      </w:r>
      <w:bookmarkEnd w:id="206"/>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207" w:name="_Toc7950782"/>
      <w:r>
        <w:rPr>
          <w:rFonts w:ascii="Times New Roman" w:hAnsi="Times New Roman" w:eastAsia="仿宋_GB2312" w:cs="Times New Roman"/>
          <w:b/>
          <w:kern w:val="0"/>
          <w:sz w:val="28"/>
          <w:szCs w:val="28"/>
        </w:rPr>
        <w:t>1、划分原则</w:t>
      </w:r>
      <w:bookmarkEnd w:id="207"/>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根据《标定地价规程》（TD/T 1052—2017）的要求，结合本项目的实际情况，在划分标定区域过程中，遵循以下原则：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（1）均质均价原则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同一标定区域内，土地的利用类型、利用状况、主导地价影响因素等相似，地价水平接近。</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（2）管理便利原则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标定区域界线不宜突破行政区划、产业区划、商业商务区、成片保障性住房等规划范围边界。</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（3）宗地完整原则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标定区域界线应保持内部的宗地完整性。</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208" w:name="_Toc7950783"/>
      <w:r>
        <w:rPr>
          <w:rFonts w:ascii="Times New Roman" w:hAnsi="Times New Roman" w:eastAsia="仿宋_GB2312" w:cs="Times New Roman"/>
          <w:b/>
          <w:kern w:val="0"/>
          <w:sz w:val="28"/>
          <w:szCs w:val="28"/>
        </w:rPr>
        <w:t>2、划分结果</w:t>
      </w:r>
      <w:bookmarkEnd w:id="208"/>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根据《标定地价规程》（TD/T 1052—2017）的要求，保证标定区域的合理性、均质性，项目组组织实地勘察，经过多轮讨论，根据和平县当前城市发展、未来城市规划、重大项目进度等城市发展情况及房地产市场发展情况，本项目标定区域共分为四种用途，分别是商服用地、住宅用地、</w:t>
      </w:r>
      <w:r>
        <w:rPr>
          <w:rFonts w:hint="eastAsia" w:ascii="Times New Roman" w:hAnsi="Times New Roman" w:eastAsia="仿宋_GB2312" w:cs="Times New Roman"/>
          <w:kern w:val="0"/>
          <w:sz w:val="28"/>
        </w:rPr>
        <w:t>商住混合用地、</w:t>
      </w:r>
      <w:r>
        <w:rPr>
          <w:rFonts w:ascii="Times New Roman" w:hAnsi="Times New Roman" w:eastAsia="仿宋_GB2312" w:cs="Times New Roman"/>
          <w:kern w:val="0"/>
          <w:sz w:val="28"/>
        </w:rPr>
        <w:t>工业用地、</w:t>
      </w:r>
      <w:r>
        <w:rPr>
          <w:rFonts w:hint="eastAsia" w:ascii="Times New Roman" w:hAnsi="Times New Roman" w:eastAsia="仿宋_GB2312" w:cs="Times New Roman"/>
          <w:kern w:val="0"/>
          <w:sz w:val="28"/>
        </w:rPr>
        <w:t>公共服务用地。</w:t>
      </w:r>
      <w:r>
        <w:rPr>
          <w:rFonts w:ascii="Times New Roman" w:hAnsi="Times New Roman" w:eastAsia="仿宋_GB2312" w:cs="Times New Roman"/>
          <w:kern w:val="0"/>
          <w:sz w:val="28"/>
        </w:rPr>
        <w:t>其中商服用途标定区域2个，</w:t>
      </w:r>
      <w:r>
        <w:rPr>
          <w:rFonts w:hint="eastAsia" w:ascii="Times New Roman" w:hAnsi="Times New Roman" w:eastAsia="仿宋_GB2312" w:cs="Times New Roman"/>
          <w:kern w:val="0"/>
          <w:sz w:val="28"/>
        </w:rPr>
        <w:t>住宅用途标定区域1个，</w:t>
      </w:r>
      <w:r>
        <w:rPr>
          <w:rFonts w:ascii="Times New Roman" w:hAnsi="Times New Roman" w:eastAsia="仿宋_GB2312" w:cs="Times New Roman"/>
          <w:kern w:val="0"/>
          <w:sz w:val="28"/>
        </w:rPr>
        <w:t>商住混合用途标定区域</w:t>
      </w:r>
      <w:r>
        <w:rPr>
          <w:rFonts w:hint="eastAsia" w:ascii="Times New Roman" w:hAnsi="Times New Roman" w:eastAsia="仿宋_GB2312" w:cs="Times New Roman"/>
          <w:kern w:val="0"/>
          <w:sz w:val="28"/>
        </w:rPr>
        <w:t>16</w:t>
      </w:r>
      <w:r>
        <w:rPr>
          <w:rFonts w:ascii="Times New Roman" w:hAnsi="Times New Roman" w:eastAsia="仿宋_GB2312" w:cs="Times New Roman"/>
          <w:kern w:val="0"/>
          <w:sz w:val="28"/>
        </w:rPr>
        <w:t>个，工业用途标定区域</w:t>
      </w:r>
      <w:r>
        <w:rPr>
          <w:rFonts w:hint="eastAsia" w:ascii="Times New Roman" w:hAnsi="Times New Roman" w:eastAsia="仿宋_GB2312" w:cs="Times New Roman"/>
          <w:kern w:val="0"/>
          <w:sz w:val="28"/>
        </w:rPr>
        <w:t>1</w:t>
      </w:r>
      <w:r>
        <w:rPr>
          <w:rFonts w:ascii="Times New Roman" w:hAnsi="Times New Roman" w:eastAsia="仿宋_GB2312" w:cs="Times New Roman"/>
          <w:kern w:val="0"/>
          <w:sz w:val="28"/>
        </w:rPr>
        <w:t>个</w:t>
      </w:r>
      <w:r>
        <w:rPr>
          <w:rFonts w:hint="eastAsia" w:ascii="Times New Roman" w:hAnsi="Times New Roman" w:eastAsia="仿宋_GB2312" w:cs="Times New Roman"/>
          <w:kern w:val="0"/>
          <w:sz w:val="28"/>
        </w:rPr>
        <w:t>，公共服务用途标定区域1个</w:t>
      </w:r>
      <w:r>
        <w:rPr>
          <w:rFonts w:ascii="Times New Roman" w:hAnsi="Times New Roman" w:eastAsia="仿宋_GB2312" w:cs="Times New Roman"/>
          <w:kern w:val="0"/>
          <w:sz w:val="28"/>
        </w:rPr>
        <w:t>。标定区域</w:t>
      </w:r>
      <w:r>
        <w:rPr>
          <w:rFonts w:hint="eastAsia" w:ascii="Times New Roman" w:hAnsi="Times New Roman" w:eastAsia="仿宋_GB2312" w:cs="Times New Roman"/>
          <w:kern w:val="0"/>
          <w:sz w:val="28"/>
        </w:rPr>
        <w:t>划分情况</w:t>
      </w:r>
      <w:r>
        <w:rPr>
          <w:rFonts w:ascii="Times New Roman" w:hAnsi="Times New Roman" w:eastAsia="仿宋_GB2312" w:cs="Times New Roman"/>
          <w:kern w:val="0"/>
          <w:sz w:val="28"/>
        </w:rPr>
        <w:t>如下表和图所示</w:t>
      </w:r>
    </w:p>
    <w:p>
      <w:pPr>
        <w:jc w:val="center"/>
        <w:outlineLvl w:val="5"/>
        <w:rPr>
          <w:rFonts w:ascii="Times New Roman" w:hAnsi="Times New Roman" w:eastAsia="仿宋_GB2312" w:cs="Times New Roman"/>
          <w:b/>
          <w:sz w:val="24"/>
          <w:szCs w:val="24"/>
        </w:rPr>
      </w:pPr>
      <w:r>
        <w:rPr>
          <w:rFonts w:ascii="Times New Roman" w:hAnsi="Times New Roman" w:eastAsia="仿宋_GB2312" w:cs="Times New Roman"/>
          <w:b/>
          <w:sz w:val="24"/>
          <w:szCs w:val="24"/>
        </w:rPr>
        <w:t>表</w:t>
      </w:r>
      <w:r>
        <w:rPr>
          <w:rFonts w:hint="eastAsia" w:ascii="Times New Roman" w:hAnsi="Times New Roman" w:eastAsia="仿宋_GB2312" w:cs="Times New Roman"/>
          <w:b/>
          <w:sz w:val="24"/>
          <w:szCs w:val="24"/>
        </w:rPr>
        <w:t>4-1</w:t>
      </w:r>
      <w:r>
        <w:rPr>
          <w:rFonts w:ascii="仿宋" w:hAnsi="仿宋" w:eastAsia="仿宋" w:cs="仿宋"/>
          <w:b/>
          <w:spacing w:val="14"/>
          <w:sz w:val="24"/>
          <w:szCs w:val="24"/>
        </w:rPr>
        <w:t>和平县</w:t>
      </w:r>
      <w:r>
        <w:rPr>
          <w:rFonts w:ascii="仿宋" w:hAnsi="仿宋" w:eastAsia="仿宋" w:cs="仿宋"/>
          <w:b/>
          <w:spacing w:val="12"/>
          <w:sz w:val="24"/>
          <w:szCs w:val="24"/>
        </w:rPr>
        <w:t>城镇</w:t>
      </w:r>
      <w:r>
        <w:rPr>
          <w:rFonts w:ascii="仿宋" w:hAnsi="仿宋" w:eastAsia="仿宋" w:cs="仿宋"/>
          <w:b/>
          <w:spacing w:val="14"/>
          <w:sz w:val="24"/>
          <w:szCs w:val="24"/>
        </w:rPr>
        <w:t>国</w:t>
      </w:r>
      <w:r>
        <w:rPr>
          <w:rFonts w:ascii="仿宋" w:hAnsi="仿宋" w:eastAsia="仿宋" w:cs="仿宋"/>
          <w:b/>
          <w:spacing w:val="12"/>
          <w:sz w:val="24"/>
          <w:szCs w:val="24"/>
        </w:rPr>
        <w:t>有</w:t>
      </w:r>
      <w:r>
        <w:rPr>
          <w:rFonts w:ascii="仿宋" w:hAnsi="仿宋" w:eastAsia="仿宋" w:cs="仿宋"/>
          <w:b/>
          <w:spacing w:val="14"/>
          <w:sz w:val="24"/>
          <w:szCs w:val="24"/>
        </w:rPr>
        <w:t>建设用</w:t>
      </w:r>
      <w:r>
        <w:rPr>
          <w:rFonts w:ascii="仿宋" w:hAnsi="仿宋" w:eastAsia="仿宋" w:cs="仿宋"/>
          <w:b/>
          <w:spacing w:val="12"/>
          <w:sz w:val="24"/>
          <w:szCs w:val="24"/>
        </w:rPr>
        <w:t>地</w:t>
      </w:r>
      <w:r>
        <w:rPr>
          <w:rFonts w:ascii="仿宋" w:hAnsi="仿宋" w:eastAsia="仿宋" w:cs="仿宋"/>
          <w:b/>
          <w:spacing w:val="14"/>
          <w:sz w:val="24"/>
          <w:szCs w:val="24"/>
        </w:rPr>
        <w:t>标</w:t>
      </w:r>
      <w:r>
        <w:rPr>
          <w:rFonts w:ascii="仿宋" w:hAnsi="仿宋" w:eastAsia="仿宋" w:cs="仿宋"/>
          <w:b/>
          <w:spacing w:val="12"/>
          <w:sz w:val="24"/>
          <w:szCs w:val="24"/>
        </w:rPr>
        <w:t>定区</w:t>
      </w:r>
      <w:r>
        <w:rPr>
          <w:rFonts w:ascii="仿宋" w:hAnsi="仿宋" w:eastAsia="仿宋" w:cs="仿宋"/>
          <w:b/>
          <w:spacing w:val="16"/>
          <w:sz w:val="24"/>
          <w:szCs w:val="24"/>
        </w:rPr>
        <w:t>域</w:t>
      </w:r>
      <w:r>
        <w:rPr>
          <w:rFonts w:ascii="仿宋" w:hAnsi="仿宋" w:eastAsia="仿宋" w:cs="仿宋"/>
          <w:b/>
          <w:spacing w:val="12"/>
          <w:sz w:val="24"/>
          <w:szCs w:val="24"/>
        </w:rPr>
        <w:t>划</w:t>
      </w:r>
      <w:r>
        <w:rPr>
          <w:rFonts w:ascii="仿宋" w:hAnsi="仿宋" w:eastAsia="仿宋" w:cs="仿宋"/>
          <w:b/>
          <w:spacing w:val="14"/>
          <w:sz w:val="24"/>
          <w:szCs w:val="24"/>
        </w:rPr>
        <w:t>分</w:t>
      </w:r>
      <w:r>
        <w:rPr>
          <w:rFonts w:ascii="仿宋" w:hAnsi="仿宋" w:eastAsia="仿宋" w:cs="仿宋"/>
          <w:b/>
          <w:spacing w:val="12"/>
          <w:sz w:val="24"/>
          <w:szCs w:val="24"/>
        </w:rPr>
        <w:t>数</w:t>
      </w:r>
      <w:r>
        <w:rPr>
          <w:rFonts w:ascii="仿宋" w:hAnsi="仿宋" w:eastAsia="仿宋" w:cs="仿宋"/>
          <w:b/>
          <w:spacing w:val="14"/>
          <w:sz w:val="24"/>
          <w:szCs w:val="24"/>
        </w:rPr>
        <w:t>量</w:t>
      </w:r>
      <w:r>
        <w:rPr>
          <w:rFonts w:ascii="仿宋" w:hAnsi="仿宋" w:eastAsia="仿宋" w:cs="仿宋"/>
          <w:b/>
          <w:spacing w:val="12"/>
          <w:sz w:val="24"/>
          <w:szCs w:val="24"/>
        </w:rPr>
        <w:t>统</w:t>
      </w:r>
      <w:r>
        <w:rPr>
          <w:rFonts w:ascii="仿宋" w:hAnsi="仿宋" w:eastAsia="仿宋" w:cs="仿宋"/>
          <w:b/>
          <w:spacing w:val="14"/>
          <w:sz w:val="24"/>
          <w:szCs w:val="24"/>
        </w:rPr>
        <w:t>计</w:t>
      </w:r>
      <w:r>
        <w:rPr>
          <w:rFonts w:ascii="仿宋" w:hAnsi="仿宋" w:eastAsia="仿宋" w:cs="仿宋"/>
          <w:b/>
          <w:sz w:val="24"/>
          <w:szCs w:val="24"/>
        </w:rPr>
        <w:t>表</w:t>
      </w:r>
    </w:p>
    <w:p>
      <w:pPr>
        <w:pStyle w:val="16"/>
        <w:ind w:firstLine="420"/>
        <w:rPr>
          <w:bCs w:val="0"/>
          <w:kern w:val="2"/>
          <w:sz w:val="21"/>
          <w:szCs w:val="21"/>
          <w:lang w:val="zh-CN"/>
        </w:rPr>
      </w:pPr>
      <w:r>
        <w:rPr>
          <w:bCs w:val="0"/>
          <w:kern w:val="2"/>
          <w:sz w:val="21"/>
          <w:szCs w:val="21"/>
          <w:lang w:val="zh-CN"/>
        </w:rPr>
        <w:t>单位：个</w:t>
      </w:r>
    </w:p>
    <w:tbl>
      <w:tblPr>
        <w:tblStyle w:val="12"/>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876"/>
        <w:gridCol w:w="2551"/>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b/>
                <w:color w:val="000000"/>
                <w:sz w:val="24"/>
              </w:rPr>
            </w:pPr>
            <w:r>
              <w:rPr>
                <w:rFonts w:hint="eastAsia" w:ascii="仿宋" w:hAnsi="仿宋" w:eastAsia="仿宋" w:cs="宋体"/>
                <w:b/>
                <w:color w:val="000000"/>
                <w:sz w:val="24"/>
              </w:rPr>
              <w:t>用地类型</w:t>
            </w:r>
          </w:p>
        </w:tc>
        <w:tc>
          <w:tcPr>
            <w:tcW w:w="1876" w:type="dxa"/>
            <w:shd w:val="clear" w:color="auto" w:fill="auto"/>
            <w:noWrap/>
            <w:vAlign w:val="center"/>
          </w:tcPr>
          <w:p>
            <w:pPr>
              <w:widowControl/>
              <w:jc w:val="center"/>
              <w:rPr>
                <w:rFonts w:ascii="仿宋" w:hAnsi="仿宋" w:eastAsia="仿宋" w:cs="宋体"/>
                <w:b/>
                <w:color w:val="000000"/>
                <w:sz w:val="24"/>
              </w:rPr>
            </w:pPr>
            <w:r>
              <w:rPr>
                <w:rFonts w:hint="eastAsia" w:ascii="仿宋" w:hAnsi="仿宋" w:eastAsia="仿宋" w:cs="宋体"/>
                <w:b/>
                <w:color w:val="000000"/>
                <w:sz w:val="24"/>
              </w:rPr>
              <w:t>标定区域数量</w:t>
            </w:r>
          </w:p>
        </w:tc>
        <w:tc>
          <w:tcPr>
            <w:tcW w:w="2551" w:type="dxa"/>
            <w:shd w:val="clear" w:color="auto" w:fill="auto"/>
            <w:noWrap/>
            <w:vAlign w:val="center"/>
          </w:tcPr>
          <w:p>
            <w:pPr>
              <w:widowControl/>
              <w:jc w:val="center"/>
              <w:rPr>
                <w:rFonts w:ascii="仿宋" w:hAnsi="仿宋" w:eastAsia="仿宋" w:cs="宋体"/>
                <w:b/>
                <w:color w:val="000000"/>
                <w:sz w:val="24"/>
              </w:rPr>
            </w:pPr>
            <w:r>
              <w:rPr>
                <w:rFonts w:hint="eastAsia" w:ascii="仿宋" w:hAnsi="仿宋" w:eastAsia="仿宋" w:cs="宋体"/>
                <w:b/>
                <w:color w:val="000000"/>
                <w:sz w:val="24"/>
              </w:rPr>
              <w:t>标定区域面积（</w:t>
            </w:r>
            <w:r>
              <w:rPr>
                <w:rFonts w:ascii="仿宋" w:hAnsi="仿宋" w:eastAsia="仿宋" w:cs="宋体"/>
                <w:b/>
                <w:color w:val="000000"/>
                <w:sz w:val="24"/>
              </w:rPr>
              <w:t>km</w:t>
            </w:r>
            <w:r>
              <w:rPr>
                <w:rFonts w:hint="eastAsia" w:ascii="仿宋" w:hAnsi="宋体" w:eastAsia="宋体" w:cs="宋体"/>
                <w:b/>
                <w:color w:val="000000"/>
                <w:sz w:val="24"/>
              </w:rPr>
              <w:t>²</w:t>
            </w:r>
            <w:r>
              <w:rPr>
                <w:rFonts w:hint="eastAsia" w:ascii="仿宋" w:hAnsi="仿宋" w:eastAsia="仿宋" w:cs="宋体"/>
                <w:b/>
                <w:color w:val="000000"/>
                <w:sz w:val="24"/>
              </w:rPr>
              <w:t>）</w:t>
            </w:r>
          </w:p>
        </w:tc>
        <w:tc>
          <w:tcPr>
            <w:tcW w:w="2326" w:type="dxa"/>
            <w:shd w:val="clear" w:color="auto" w:fill="auto"/>
            <w:noWrap/>
            <w:vAlign w:val="center"/>
          </w:tcPr>
          <w:p>
            <w:pPr>
              <w:widowControl/>
              <w:jc w:val="center"/>
              <w:rPr>
                <w:rFonts w:ascii="仿宋" w:hAnsi="仿宋" w:eastAsia="仿宋" w:cs="宋体"/>
                <w:b/>
                <w:color w:val="000000"/>
                <w:sz w:val="24"/>
              </w:rPr>
            </w:pPr>
            <w:r>
              <w:rPr>
                <w:rFonts w:hint="eastAsia" w:ascii="仿宋" w:hAnsi="仿宋" w:eastAsia="仿宋" w:cs="宋体"/>
                <w:b/>
                <w:color w:val="000000"/>
                <w:sz w:val="24"/>
              </w:rPr>
              <w:t>所占和平县标定区域总面积比例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商服用地</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2</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0.09</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住宅用地</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0.13</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商住混合用地</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16</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2.61</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55.59%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工业用地</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1.75</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公共服务用地</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0.12</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967"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合计</w:t>
            </w:r>
          </w:p>
        </w:tc>
        <w:tc>
          <w:tcPr>
            <w:tcW w:w="187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21</w:t>
            </w:r>
          </w:p>
        </w:tc>
        <w:tc>
          <w:tcPr>
            <w:tcW w:w="2551"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4.70</w:t>
            </w:r>
          </w:p>
        </w:tc>
        <w:tc>
          <w:tcPr>
            <w:tcW w:w="2326" w:type="dxa"/>
            <w:shd w:val="clear" w:color="auto" w:fill="auto"/>
            <w:noWrap/>
            <w:vAlign w:val="center"/>
          </w:tcPr>
          <w:p>
            <w:pPr>
              <w:widowControl/>
              <w:jc w:val="center"/>
              <w:rPr>
                <w:rFonts w:ascii="仿宋" w:hAnsi="仿宋" w:eastAsia="仿宋" w:cs="宋体"/>
                <w:color w:val="000000"/>
                <w:sz w:val="24"/>
              </w:rPr>
            </w:pPr>
            <w:r>
              <w:rPr>
                <w:rFonts w:hint="eastAsia" w:ascii="仿宋" w:hAnsi="仿宋" w:eastAsia="仿宋" w:cs="宋体"/>
                <w:color w:val="000000"/>
                <w:sz w:val="24"/>
              </w:rPr>
              <w:t>100%</w:t>
            </w:r>
          </w:p>
        </w:tc>
      </w:tr>
    </w:tbl>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jc w:val="center"/>
        <w:rPr>
          <w:rFonts w:ascii="Times New Roman" w:hAnsi="Times New Roman" w:eastAsia="仿宋_GB2312" w:cs="Times New Roman"/>
          <w:kern w:val="0"/>
          <w:sz w:val="28"/>
        </w:rPr>
      </w:pPr>
      <w:r>
        <w:rPr>
          <w:rFonts w:ascii="Times New Roman" w:hAnsi="Times New Roman" w:cs="Times New Roman"/>
          <w:sz w:val="20"/>
          <w:szCs w:val="20"/>
        </w:rPr>
        <w:drawing>
          <wp:inline distT="0" distB="0" distL="0" distR="0">
            <wp:extent cx="5245735" cy="7199630"/>
            <wp:effectExtent l="0" t="0" r="0" b="1270"/>
            <wp:docPr id="5" name="图片 22" descr="C:\Users\ADMINI~1\AppData\Local\Temp\WeChat Files\178d5d5201d491db8755c8e4a94a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C:\Users\ADMINI~1\AppData\Local\Temp\WeChat Files\178d5d5201d491db8755c8e4a94a8ed.jpg"/>
                    <pic:cNvPicPr>
                      <a:picLocks noChangeAspect="1" noChangeArrowheads="1"/>
                    </pic:cNvPicPr>
                  </pic:nvPicPr>
                  <pic:blipFill>
                    <a:blip r:embed="rId7" cstate="print"/>
                    <a:srcRect l="1957" t="3114" r="2174" b="3806"/>
                    <a:stretch>
                      <a:fillRect/>
                    </a:stretch>
                  </pic:blipFill>
                  <pic:spPr>
                    <a:xfrm>
                      <a:off x="0" y="0"/>
                      <a:ext cx="5246097" cy="7200000"/>
                    </a:xfrm>
                    <a:prstGeom prst="rect">
                      <a:avLst/>
                    </a:prstGeom>
                    <a:noFill/>
                    <a:ln w="9525">
                      <a:noFill/>
                      <a:miter lim="800000"/>
                      <a:headEnd/>
                      <a:tailEnd/>
                    </a:ln>
                  </pic:spPr>
                </pic:pic>
              </a:graphicData>
            </a:graphic>
          </wp:inline>
        </w:drawing>
      </w:r>
    </w:p>
    <w:p>
      <w:pPr>
        <w:widowControl/>
        <w:adjustRightInd w:val="0"/>
        <w:snapToGrid w:val="0"/>
        <w:spacing w:line="360" w:lineRule="auto"/>
        <w:ind w:firstLine="498" w:firstLineChars="200"/>
        <w:jc w:val="center"/>
        <w:rPr>
          <w:rFonts w:ascii="仿宋" w:hAnsi="仿宋" w:eastAsia="仿宋" w:cs="仿宋"/>
          <w:b/>
          <w:position w:val="-1"/>
          <w:sz w:val="22"/>
          <w:szCs w:val="24"/>
        </w:rPr>
      </w:pPr>
      <w:r>
        <w:rPr>
          <w:rFonts w:ascii="仿宋" w:hAnsi="仿宋" w:eastAsia="仿宋" w:cs="仿宋"/>
          <w:b/>
          <w:spacing w:val="14"/>
          <w:position w:val="-1"/>
          <w:sz w:val="22"/>
          <w:szCs w:val="24"/>
        </w:rPr>
        <w:t>图</w:t>
      </w:r>
      <w:r>
        <w:rPr>
          <w:rFonts w:hint="eastAsia" w:ascii="Times New Roman" w:hAnsi="Times New Roman" w:cs="Times New Roman"/>
          <w:b/>
          <w:bCs/>
          <w:spacing w:val="7"/>
          <w:position w:val="-1"/>
          <w:sz w:val="22"/>
          <w:szCs w:val="24"/>
        </w:rPr>
        <w:t>4</w:t>
      </w:r>
      <w:r>
        <w:rPr>
          <w:rFonts w:ascii="Times New Roman" w:hAnsi="Times New Roman" w:eastAsia="Times New Roman" w:cs="Times New Roman"/>
          <w:b/>
          <w:bCs/>
          <w:spacing w:val="5"/>
          <w:position w:val="-1"/>
          <w:sz w:val="22"/>
          <w:szCs w:val="24"/>
        </w:rPr>
        <w:t>-</w:t>
      </w:r>
      <w:r>
        <w:rPr>
          <w:rFonts w:hint="eastAsia" w:ascii="Times New Roman" w:hAnsi="Times New Roman" w:cs="Times New Roman"/>
          <w:b/>
          <w:bCs/>
          <w:spacing w:val="7"/>
          <w:position w:val="-1"/>
          <w:sz w:val="22"/>
          <w:szCs w:val="24"/>
        </w:rPr>
        <w:t>1</w:t>
      </w:r>
      <w:r>
        <w:rPr>
          <w:rFonts w:ascii="仿宋" w:hAnsi="仿宋" w:eastAsia="仿宋" w:cs="仿宋"/>
          <w:b/>
          <w:spacing w:val="14"/>
          <w:position w:val="-1"/>
          <w:sz w:val="22"/>
          <w:szCs w:val="24"/>
        </w:rPr>
        <w:t>和平县</w:t>
      </w:r>
      <w:r>
        <w:rPr>
          <w:rFonts w:ascii="仿宋" w:hAnsi="仿宋" w:eastAsia="仿宋" w:cs="仿宋"/>
          <w:b/>
          <w:spacing w:val="12"/>
          <w:position w:val="-1"/>
          <w:sz w:val="22"/>
          <w:szCs w:val="24"/>
        </w:rPr>
        <w:t>城镇</w:t>
      </w:r>
      <w:r>
        <w:rPr>
          <w:rFonts w:ascii="仿宋" w:hAnsi="仿宋" w:eastAsia="仿宋" w:cs="仿宋"/>
          <w:b/>
          <w:spacing w:val="14"/>
          <w:position w:val="-1"/>
          <w:sz w:val="22"/>
          <w:szCs w:val="24"/>
        </w:rPr>
        <w:t>国</w:t>
      </w:r>
      <w:r>
        <w:rPr>
          <w:rFonts w:ascii="仿宋" w:hAnsi="仿宋" w:eastAsia="仿宋" w:cs="仿宋"/>
          <w:b/>
          <w:spacing w:val="12"/>
          <w:position w:val="-1"/>
          <w:sz w:val="22"/>
          <w:szCs w:val="24"/>
        </w:rPr>
        <w:t>有</w:t>
      </w:r>
      <w:r>
        <w:rPr>
          <w:rFonts w:ascii="仿宋" w:hAnsi="仿宋" w:eastAsia="仿宋" w:cs="仿宋"/>
          <w:b/>
          <w:spacing w:val="14"/>
          <w:position w:val="-1"/>
          <w:sz w:val="22"/>
          <w:szCs w:val="24"/>
        </w:rPr>
        <w:t>建设用</w:t>
      </w:r>
      <w:r>
        <w:rPr>
          <w:rFonts w:ascii="仿宋" w:hAnsi="仿宋" w:eastAsia="仿宋" w:cs="仿宋"/>
          <w:b/>
          <w:spacing w:val="12"/>
          <w:position w:val="-1"/>
          <w:sz w:val="22"/>
          <w:szCs w:val="24"/>
        </w:rPr>
        <w:t>地</w:t>
      </w:r>
      <w:r>
        <w:rPr>
          <w:rFonts w:ascii="仿宋" w:hAnsi="仿宋" w:eastAsia="仿宋" w:cs="仿宋"/>
          <w:b/>
          <w:spacing w:val="14"/>
          <w:position w:val="-1"/>
          <w:sz w:val="22"/>
          <w:szCs w:val="24"/>
        </w:rPr>
        <w:t>标</w:t>
      </w:r>
      <w:r>
        <w:rPr>
          <w:rFonts w:ascii="仿宋" w:hAnsi="仿宋" w:eastAsia="仿宋" w:cs="仿宋"/>
          <w:b/>
          <w:spacing w:val="12"/>
          <w:position w:val="-1"/>
          <w:sz w:val="22"/>
          <w:szCs w:val="24"/>
        </w:rPr>
        <w:t>定区</w:t>
      </w:r>
      <w:r>
        <w:rPr>
          <w:rFonts w:ascii="仿宋" w:hAnsi="仿宋" w:eastAsia="仿宋" w:cs="仿宋"/>
          <w:b/>
          <w:spacing w:val="14"/>
          <w:position w:val="-1"/>
          <w:sz w:val="22"/>
          <w:szCs w:val="24"/>
        </w:rPr>
        <w:t>域</w:t>
      </w:r>
      <w:r>
        <w:rPr>
          <w:rFonts w:ascii="仿宋" w:hAnsi="仿宋" w:eastAsia="仿宋" w:cs="仿宋"/>
          <w:b/>
          <w:spacing w:val="12"/>
          <w:position w:val="-1"/>
          <w:sz w:val="22"/>
          <w:szCs w:val="24"/>
        </w:rPr>
        <w:t>划</w:t>
      </w:r>
      <w:r>
        <w:rPr>
          <w:rFonts w:ascii="仿宋" w:hAnsi="仿宋" w:eastAsia="仿宋" w:cs="仿宋"/>
          <w:b/>
          <w:spacing w:val="14"/>
          <w:position w:val="-1"/>
          <w:sz w:val="22"/>
          <w:szCs w:val="24"/>
        </w:rPr>
        <w:t>分</w:t>
      </w:r>
      <w:r>
        <w:rPr>
          <w:rFonts w:ascii="仿宋" w:hAnsi="仿宋" w:eastAsia="仿宋" w:cs="仿宋"/>
          <w:b/>
          <w:spacing w:val="12"/>
          <w:position w:val="-1"/>
          <w:sz w:val="22"/>
          <w:szCs w:val="24"/>
        </w:rPr>
        <w:t>结</w:t>
      </w:r>
      <w:r>
        <w:rPr>
          <w:rFonts w:ascii="仿宋" w:hAnsi="仿宋" w:eastAsia="仿宋" w:cs="仿宋"/>
          <w:b/>
          <w:spacing w:val="14"/>
          <w:position w:val="-1"/>
          <w:sz w:val="22"/>
          <w:szCs w:val="24"/>
        </w:rPr>
        <w:t>果</w:t>
      </w:r>
      <w:r>
        <w:rPr>
          <w:rFonts w:ascii="仿宋" w:hAnsi="仿宋" w:eastAsia="仿宋" w:cs="仿宋"/>
          <w:b/>
          <w:position w:val="-1"/>
          <w:sz w:val="22"/>
          <w:szCs w:val="24"/>
        </w:rPr>
        <w:t>图</w:t>
      </w:r>
    </w:p>
    <w:p>
      <w:pPr>
        <w:widowControl/>
        <w:adjustRightInd w:val="0"/>
        <w:snapToGrid w:val="0"/>
        <w:spacing w:line="360" w:lineRule="auto"/>
        <w:jc w:val="left"/>
        <w:outlineLvl w:val="1"/>
        <w:rPr>
          <w:rFonts w:ascii="Times New Roman" w:hAnsi="Times New Roman" w:eastAsia="仿宋_GB2312" w:cs="Times New Roman"/>
          <w:b/>
          <w:kern w:val="0"/>
          <w:sz w:val="28"/>
        </w:rPr>
      </w:pPr>
      <w:bookmarkStart w:id="209" w:name="_Toc61275840"/>
      <w:r>
        <w:rPr>
          <w:rFonts w:ascii="Times New Roman" w:hAnsi="Times New Roman" w:eastAsia="仿宋_GB2312" w:cs="Times New Roman"/>
          <w:b/>
          <w:kern w:val="0"/>
          <w:sz w:val="28"/>
        </w:rPr>
        <w:t>（二）标准宗地的设立情况</w:t>
      </w:r>
      <w:bookmarkEnd w:id="209"/>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在标定区域内，土地条件、土地利用状况等特征具有代表性，且利用状况相对稳定，地价水平能够起示范和比较标准作用的宗地。</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210" w:name="_Toc7950785"/>
      <w:r>
        <w:rPr>
          <w:rFonts w:ascii="Times New Roman" w:hAnsi="Times New Roman" w:eastAsia="仿宋_GB2312" w:cs="Times New Roman"/>
          <w:b/>
          <w:kern w:val="0"/>
          <w:sz w:val="28"/>
          <w:szCs w:val="28"/>
        </w:rPr>
        <w:t>1、设立原则</w:t>
      </w:r>
      <w:bookmarkEnd w:id="210"/>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参照自然资源部（原国土资源部）《城市地价动态监测技术规范》（TD/T 1009－2007）的要求，结合本项目实际，标准宗地的设立遵循以下原则：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（1）代表性原则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指设立的地价监测点在所在区段内，其地价水平、利用条件、利用状况、开发程度等方面具有代表性；</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（2）确定性原则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指设立的地价监测点为一具体宗地，其周围条件及自身条件都比较确定；</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（3）稳定性原则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指设立的地价监测点的土地条件，利用状况以及周围土地的利用条件比较稳定，在较长的时间内不会发生分割、合并或重新规划等情况；</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（4）标识性原则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指设立的地价监测点易于识别，具有一定的标识性。</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（5）合理分布性原则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设立的标准宗地需符合区域发展情况，满足中心城区、近期规划建设区、城市边缘区等不同城市发展分区的设立密度要求。</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（6）唯一性原则</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设立的标准宗地能够代表标定区域内的平均价格水平，且每个标定区域内有且只有一宗标准宗地。</w:t>
      </w:r>
      <w:bookmarkStart w:id="211" w:name="_Toc7950786"/>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2、设立要求</w:t>
      </w:r>
      <w:bookmarkEnd w:id="211"/>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（1）每类用途的每个标定区域内，有且仅有1宗标准宗地；</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（2）标准宗地的土地用途以证载用途为准，现状开发利用应符合法律、法规及相关规划的要求，地上物的实际用途与土地用途原则上应保持一致；</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（3）标准宗地的土地用途及其实际利用方式应与所在标定区域的主导用途、普遍利用方式一致；</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（4）建设用地标定区域内的标准宗地宜完成开发建设并正常经营与使用，或具有明确、详细的规划条件；</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（5）优先选取符合要求的地价监测点，适当考虑市场价的标准宗地；</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（6）确有公示必要的地标性用地可单独设立，视同标准宗地管理；</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（7）原则上不选择无明确利用方式的空地或闲置土地做为标准宗地。</w:t>
      </w:r>
    </w:p>
    <w:p>
      <w:pPr>
        <w:widowControl/>
        <w:adjustRightInd w:val="0"/>
        <w:snapToGrid w:val="0"/>
        <w:spacing w:line="360" w:lineRule="auto"/>
        <w:ind w:firstLine="562" w:firstLineChars="200"/>
        <w:jc w:val="left"/>
        <w:outlineLvl w:val="2"/>
        <w:rPr>
          <w:rFonts w:ascii="Times New Roman" w:hAnsi="Times New Roman" w:eastAsia="仿宋_GB2312" w:cs="Times New Roman"/>
          <w:b/>
          <w:kern w:val="0"/>
          <w:sz w:val="28"/>
          <w:szCs w:val="28"/>
        </w:rPr>
      </w:pPr>
      <w:bookmarkStart w:id="212" w:name="_Toc7950787"/>
      <w:r>
        <w:rPr>
          <w:rFonts w:ascii="Times New Roman" w:hAnsi="Times New Roman" w:eastAsia="仿宋_GB2312" w:cs="Times New Roman"/>
          <w:b/>
          <w:kern w:val="0"/>
          <w:sz w:val="28"/>
          <w:szCs w:val="28"/>
        </w:rPr>
        <w:t>3、设立结果</w:t>
      </w:r>
      <w:bookmarkEnd w:id="212"/>
    </w:p>
    <w:p>
      <w:pPr>
        <w:widowControl/>
        <w:adjustRightInd w:val="0"/>
        <w:snapToGrid w:val="0"/>
        <w:spacing w:line="360" w:lineRule="auto"/>
        <w:ind w:firstLine="560" w:firstLineChars="200"/>
        <w:jc w:val="left"/>
        <w:rPr>
          <w:rFonts w:ascii="仿宋" w:hAnsi="仿宋" w:eastAsia="仿宋" w:cs="仿宋"/>
          <w:sz w:val="28"/>
          <w:szCs w:val="24"/>
        </w:rPr>
      </w:pPr>
      <w:r>
        <w:rPr>
          <w:rFonts w:ascii="仿宋" w:hAnsi="仿宋" w:eastAsia="仿宋" w:cs="仿宋"/>
          <w:sz w:val="28"/>
          <w:szCs w:val="24"/>
        </w:rPr>
        <w:t>根据标准宗地布设的原则及设立步骤，和平县城镇国有建设用地标定地价体系共布设</w:t>
      </w:r>
      <w:r>
        <w:rPr>
          <w:rFonts w:hint="eastAsia" w:ascii="仿宋" w:hAnsi="仿宋" w:eastAsia="仿宋" w:cs="仿宋"/>
          <w:sz w:val="28"/>
          <w:szCs w:val="24"/>
        </w:rPr>
        <w:t>21</w:t>
      </w:r>
      <w:r>
        <w:rPr>
          <w:rFonts w:ascii="仿宋" w:hAnsi="仿宋" w:eastAsia="仿宋" w:cs="仿宋"/>
          <w:sz w:val="28"/>
          <w:szCs w:val="24"/>
        </w:rPr>
        <w:t>宗标准宗地，其中商服用地标准宗地2宗，</w:t>
      </w:r>
      <w:r>
        <w:rPr>
          <w:rFonts w:hint="eastAsia" w:ascii="仿宋" w:hAnsi="仿宋" w:eastAsia="仿宋" w:cs="仿宋"/>
          <w:sz w:val="28"/>
          <w:szCs w:val="24"/>
        </w:rPr>
        <w:t>住宅用地标准宗地1宗，</w:t>
      </w:r>
      <w:r>
        <w:rPr>
          <w:rFonts w:ascii="仿宋" w:hAnsi="仿宋" w:eastAsia="仿宋" w:cs="仿宋"/>
          <w:sz w:val="28"/>
          <w:szCs w:val="24"/>
        </w:rPr>
        <w:t>商住混合用地标准宗地</w:t>
      </w:r>
      <w:r>
        <w:rPr>
          <w:rFonts w:hint="eastAsia" w:ascii="仿宋" w:hAnsi="仿宋" w:eastAsia="仿宋" w:cs="仿宋"/>
          <w:sz w:val="28"/>
          <w:szCs w:val="24"/>
        </w:rPr>
        <w:t>16</w:t>
      </w:r>
      <w:r>
        <w:rPr>
          <w:rFonts w:ascii="仿宋" w:hAnsi="仿宋" w:eastAsia="仿宋" w:cs="仿宋"/>
          <w:sz w:val="28"/>
          <w:szCs w:val="24"/>
        </w:rPr>
        <w:t>宗，工业用地标准宗地</w:t>
      </w:r>
      <w:r>
        <w:rPr>
          <w:rFonts w:hint="eastAsia" w:ascii="仿宋" w:hAnsi="仿宋" w:eastAsia="仿宋" w:cs="仿宋"/>
          <w:sz w:val="28"/>
          <w:szCs w:val="24"/>
        </w:rPr>
        <w:t>1</w:t>
      </w:r>
      <w:r>
        <w:rPr>
          <w:rFonts w:ascii="仿宋" w:hAnsi="仿宋" w:eastAsia="仿宋" w:cs="仿宋"/>
          <w:sz w:val="28"/>
          <w:szCs w:val="24"/>
        </w:rPr>
        <w:t>宗</w:t>
      </w:r>
      <w:r>
        <w:rPr>
          <w:rFonts w:hint="eastAsia" w:ascii="仿宋" w:hAnsi="仿宋" w:eastAsia="仿宋" w:cs="仿宋"/>
          <w:sz w:val="28"/>
          <w:szCs w:val="24"/>
        </w:rPr>
        <w:t>，公服用地标准宗地1宗</w:t>
      </w:r>
      <w:r>
        <w:rPr>
          <w:rFonts w:ascii="仿宋" w:hAnsi="仿宋" w:eastAsia="仿宋" w:cs="仿宋"/>
          <w:sz w:val="28"/>
          <w:szCs w:val="24"/>
        </w:rPr>
        <w:t>。标准宗地布设情况详见下表及下图：</w:t>
      </w:r>
    </w:p>
    <w:p>
      <w:pPr>
        <w:widowControl/>
        <w:adjustRightInd w:val="0"/>
        <w:snapToGrid w:val="0"/>
        <w:spacing w:line="360" w:lineRule="auto"/>
        <w:ind w:firstLine="560" w:firstLineChars="200"/>
        <w:jc w:val="left"/>
        <w:rPr>
          <w:rFonts w:ascii="仿宋" w:hAnsi="仿宋" w:eastAsia="仿宋" w:cs="仿宋"/>
          <w:sz w:val="28"/>
          <w:szCs w:val="24"/>
        </w:rPr>
      </w:pPr>
    </w:p>
    <w:p>
      <w:pPr>
        <w:widowControl/>
        <w:adjustRightInd w:val="0"/>
        <w:snapToGrid w:val="0"/>
        <w:spacing w:line="360" w:lineRule="auto"/>
        <w:ind w:firstLine="560" w:firstLineChars="200"/>
        <w:jc w:val="left"/>
        <w:rPr>
          <w:rFonts w:ascii="仿宋" w:hAnsi="仿宋" w:eastAsia="仿宋" w:cs="仿宋"/>
          <w:sz w:val="28"/>
          <w:szCs w:val="24"/>
        </w:rPr>
      </w:pPr>
    </w:p>
    <w:p>
      <w:pPr>
        <w:widowControl/>
        <w:adjustRightInd w:val="0"/>
        <w:snapToGrid w:val="0"/>
        <w:spacing w:line="360" w:lineRule="auto"/>
        <w:ind w:firstLine="560" w:firstLineChars="200"/>
        <w:jc w:val="left"/>
        <w:rPr>
          <w:rFonts w:ascii="仿宋" w:hAnsi="仿宋" w:eastAsia="仿宋" w:cs="仿宋"/>
          <w:sz w:val="28"/>
          <w:szCs w:val="24"/>
        </w:rPr>
      </w:pPr>
    </w:p>
    <w:p>
      <w:pPr>
        <w:widowControl/>
        <w:adjustRightInd w:val="0"/>
        <w:snapToGrid w:val="0"/>
        <w:spacing w:line="360" w:lineRule="auto"/>
        <w:ind w:firstLine="560" w:firstLineChars="200"/>
        <w:jc w:val="left"/>
        <w:rPr>
          <w:rFonts w:ascii="仿宋" w:hAnsi="仿宋" w:eastAsia="仿宋" w:cs="仿宋"/>
          <w:sz w:val="28"/>
          <w:szCs w:val="24"/>
        </w:rPr>
      </w:pPr>
    </w:p>
    <w:p>
      <w:pPr>
        <w:tabs>
          <w:tab w:val="left" w:pos="2520"/>
        </w:tabs>
        <w:spacing w:before="64" w:line="360" w:lineRule="auto"/>
        <w:ind w:left="1690" w:right="-23"/>
        <w:rPr>
          <w:rFonts w:ascii="仿宋" w:hAnsi="仿宋" w:eastAsia="仿宋" w:cs="仿宋"/>
          <w:b/>
          <w:sz w:val="24"/>
          <w:szCs w:val="24"/>
        </w:rPr>
      </w:pPr>
      <w:r>
        <w:rPr>
          <w:rFonts w:ascii="仿宋" w:hAnsi="仿宋" w:eastAsia="仿宋" w:cs="仿宋"/>
          <w:b/>
          <w:spacing w:val="14"/>
          <w:position w:val="-2"/>
          <w:sz w:val="24"/>
          <w:szCs w:val="24"/>
        </w:rPr>
        <w:t>表</w:t>
      </w:r>
      <w:r>
        <w:rPr>
          <w:rFonts w:hint="eastAsia" w:ascii="Times New Roman" w:hAnsi="Times New Roman" w:cs="Times New Roman"/>
          <w:b/>
          <w:bCs/>
          <w:spacing w:val="7"/>
          <w:position w:val="-2"/>
          <w:sz w:val="24"/>
          <w:szCs w:val="24"/>
        </w:rPr>
        <w:t>4</w:t>
      </w:r>
      <w:r>
        <w:rPr>
          <w:rFonts w:hint="eastAsia" w:ascii="Times New Roman" w:hAnsi="Times New Roman" w:cs="Times New Roman"/>
          <w:b/>
          <w:bCs/>
          <w:spacing w:val="5"/>
          <w:position w:val="-2"/>
          <w:sz w:val="24"/>
          <w:szCs w:val="24"/>
        </w:rPr>
        <w:t>-2</w:t>
      </w:r>
      <w:r>
        <w:rPr>
          <w:rFonts w:ascii="Times New Roman" w:hAnsi="Times New Roman" w:eastAsia="Times New Roman" w:cs="Times New Roman"/>
          <w:b/>
          <w:bCs/>
          <w:position w:val="-2"/>
          <w:sz w:val="24"/>
          <w:szCs w:val="24"/>
        </w:rPr>
        <w:tab/>
      </w:r>
      <w:r>
        <w:rPr>
          <w:rFonts w:ascii="仿宋" w:hAnsi="仿宋" w:eastAsia="仿宋" w:cs="仿宋"/>
          <w:b/>
          <w:spacing w:val="14"/>
          <w:position w:val="-2"/>
          <w:sz w:val="24"/>
          <w:szCs w:val="24"/>
        </w:rPr>
        <w:t>和平县</w:t>
      </w:r>
      <w:r>
        <w:rPr>
          <w:rFonts w:ascii="仿宋" w:hAnsi="仿宋" w:eastAsia="仿宋" w:cs="仿宋"/>
          <w:b/>
          <w:spacing w:val="12"/>
          <w:position w:val="-2"/>
          <w:sz w:val="24"/>
          <w:szCs w:val="24"/>
        </w:rPr>
        <w:t>城镇</w:t>
      </w:r>
      <w:r>
        <w:rPr>
          <w:rFonts w:ascii="仿宋" w:hAnsi="仿宋" w:eastAsia="仿宋" w:cs="仿宋"/>
          <w:b/>
          <w:spacing w:val="14"/>
          <w:position w:val="-2"/>
          <w:sz w:val="24"/>
          <w:szCs w:val="24"/>
        </w:rPr>
        <w:t>国</w:t>
      </w:r>
      <w:r>
        <w:rPr>
          <w:rFonts w:ascii="仿宋" w:hAnsi="仿宋" w:eastAsia="仿宋" w:cs="仿宋"/>
          <w:b/>
          <w:spacing w:val="12"/>
          <w:position w:val="-2"/>
          <w:sz w:val="24"/>
          <w:szCs w:val="24"/>
        </w:rPr>
        <w:t>有</w:t>
      </w:r>
      <w:r>
        <w:rPr>
          <w:rFonts w:ascii="仿宋" w:hAnsi="仿宋" w:eastAsia="仿宋" w:cs="仿宋"/>
          <w:b/>
          <w:spacing w:val="14"/>
          <w:position w:val="-2"/>
          <w:sz w:val="24"/>
          <w:szCs w:val="24"/>
        </w:rPr>
        <w:t>建设用</w:t>
      </w:r>
      <w:r>
        <w:rPr>
          <w:rFonts w:ascii="仿宋" w:hAnsi="仿宋" w:eastAsia="仿宋" w:cs="仿宋"/>
          <w:b/>
          <w:spacing w:val="12"/>
          <w:position w:val="-2"/>
          <w:sz w:val="24"/>
          <w:szCs w:val="24"/>
        </w:rPr>
        <w:t>地</w:t>
      </w:r>
      <w:r>
        <w:rPr>
          <w:rFonts w:ascii="仿宋" w:hAnsi="仿宋" w:eastAsia="仿宋" w:cs="仿宋"/>
          <w:b/>
          <w:spacing w:val="14"/>
          <w:position w:val="-2"/>
          <w:sz w:val="24"/>
          <w:szCs w:val="24"/>
        </w:rPr>
        <w:t>标</w:t>
      </w:r>
      <w:r>
        <w:rPr>
          <w:rFonts w:ascii="仿宋" w:hAnsi="仿宋" w:eastAsia="仿宋" w:cs="仿宋"/>
          <w:b/>
          <w:spacing w:val="12"/>
          <w:position w:val="-2"/>
          <w:sz w:val="24"/>
          <w:szCs w:val="24"/>
        </w:rPr>
        <w:t>准宗</w:t>
      </w:r>
      <w:r>
        <w:rPr>
          <w:rFonts w:ascii="仿宋" w:hAnsi="仿宋" w:eastAsia="仿宋" w:cs="仿宋"/>
          <w:b/>
          <w:spacing w:val="14"/>
          <w:position w:val="-2"/>
          <w:sz w:val="24"/>
          <w:szCs w:val="24"/>
        </w:rPr>
        <w:t>地</w:t>
      </w:r>
      <w:r>
        <w:rPr>
          <w:rFonts w:ascii="仿宋" w:hAnsi="仿宋" w:eastAsia="仿宋" w:cs="仿宋"/>
          <w:b/>
          <w:spacing w:val="12"/>
          <w:position w:val="-2"/>
          <w:sz w:val="24"/>
          <w:szCs w:val="24"/>
        </w:rPr>
        <w:t>布</w:t>
      </w:r>
      <w:r>
        <w:rPr>
          <w:rFonts w:ascii="仿宋" w:hAnsi="仿宋" w:eastAsia="仿宋" w:cs="仿宋"/>
          <w:b/>
          <w:spacing w:val="14"/>
          <w:position w:val="-2"/>
          <w:sz w:val="24"/>
          <w:szCs w:val="24"/>
        </w:rPr>
        <w:t>设</w:t>
      </w:r>
      <w:r>
        <w:rPr>
          <w:rFonts w:ascii="仿宋" w:hAnsi="仿宋" w:eastAsia="仿宋" w:cs="仿宋"/>
          <w:b/>
          <w:spacing w:val="12"/>
          <w:position w:val="-2"/>
          <w:sz w:val="24"/>
          <w:szCs w:val="24"/>
        </w:rPr>
        <w:t>情</w:t>
      </w:r>
      <w:r>
        <w:rPr>
          <w:rFonts w:ascii="仿宋" w:hAnsi="仿宋" w:eastAsia="仿宋" w:cs="仿宋"/>
          <w:b/>
          <w:spacing w:val="14"/>
          <w:position w:val="-2"/>
          <w:sz w:val="24"/>
          <w:szCs w:val="24"/>
        </w:rPr>
        <w:t>况</w:t>
      </w:r>
      <w:r>
        <w:rPr>
          <w:rFonts w:ascii="仿宋" w:hAnsi="仿宋" w:eastAsia="仿宋" w:cs="仿宋"/>
          <w:b/>
          <w:position w:val="-2"/>
          <w:sz w:val="24"/>
          <w:szCs w:val="24"/>
        </w:rPr>
        <w:t>表</w:t>
      </w:r>
    </w:p>
    <w:tbl>
      <w:tblPr>
        <w:tblStyle w:val="12"/>
        <w:tblW w:w="949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413"/>
        <w:gridCol w:w="1985"/>
        <w:gridCol w:w="992"/>
        <w:gridCol w:w="1704"/>
        <w:gridCol w:w="817"/>
        <w:gridCol w:w="887"/>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428"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序号</w:t>
            </w:r>
          </w:p>
        </w:tc>
        <w:tc>
          <w:tcPr>
            <w:tcW w:w="1413"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土地用途</w:t>
            </w:r>
          </w:p>
        </w:tc>
        <w:tc>
          <w:tcPr>
            <w:tcW w:w="1985"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标准宗地编码</w:t>
            </w:r>
          </w:p>
        </w:tc>
        <w:tc>
          <w:tcPr>
            <w:tcW w:w="992"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镇区</w:t>
            </w:r>
          </w:p>
        </w:tc>
        <w:tc>
          <w:tcPr>
            <w:tcW w:w="1704"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宗地名称/位置</w:t>
            </w:r>
          </w:p>
        </w:tc>
        <w:tc>
          <w:tcPr>
            <w:tcW w:w="817"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权属性质</w:t>
            </w:r>
          </w:p>
        </w:tc>
        <w:tc>
          <w:tcPr>
            <w:tcW w:w="887"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权利</w:t>
            </w:r>
          </w:p>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类型</w:t>
            </w:r>
          </w:p>
        </w:tc>
        <w:tc>
          <w:tcPr>
            <w:tcW w:w="1273" w:type="dxa"/>
            <w:vMerge w:val="restart"/>
            <w:shd w:val="clear" w:color="auto" w:fill="auto"/>
            <w:vAlign w:val="center"/>
          </w:tcPr>
          <w:p>
            <w:pPr>
              <w:widowControl/>
              <w:jc w:val="center"/>
              <w:rPr>
                <w:rFonts w:ascii="仿宋" w:hAnsi="仿宋" w:eastAsia="仿宋" w:cs="宋体"/>
                <w:b/>
                <w:bCs/>
                <w:color w:val="000000"/>
                <w:szCs w:val="24"/>
              </w:rPr>
            </w:pPr>
            <w:r>
              <w:rPr>
                <w:rFonts w:hint="eastAsia" w:ascii="仿宋" w:hAnsi="仿宋" w:eastAsia="仿宋" w:cs="宋体"/>
                <w:b/>
                <w:bCs/>
                <w:color w:val="000000"/>
                <w:szCs w:val="24"/>
              </w:rPr>
              <w:t>土地面积（平方米）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8" w:type="dxa"/>
            <w:vMerge w:val="continue"/>
            <w:vAlign w:val="center"/>
          </w:tcPr>
          <w:p>
            <w:pPr>
              <w:widowControl/>
              <w:rPr>
                <w:rFonts w:ascii="仿宋" w:hAnsi="仿宋" w:eastAsia="仿宋" w:cs="宋体"/>
                <w:b/>
                <w:bCs/>
                <w:color w:val="000000"/>
                <w:szCs w:val="24"/>
              </w:rPr>
            </w:pPr>
          </w:p>
        </w:tc>
        <w:tc>
          <w:tcPr>
            <w:tcW w:w="1413" w:type="dxa"/>
            <w:vMerge w:val="continue"/>
            <w:vAlign w:val="center"/>
          </w:tcPr>
          <w:p>
            <w:pPr>
              <w:widowControl/>
              <w:rPr>
                <w:rFonts w:ascii="仿宋" w:hAnsi="仿宋" w:eastAsia="仿宋" w:cs="宋体"/>
                <w:b/>
                <w:bCs/>
                <w:color w:val="000000"/>
                <w:szCs w:val="24"/>
              </w:rPr>
            </w:pPr>
          </w:p>
        </w:tc>
        <w:tc>
          <w:tcPr>
            <w:tcW w:w="1985" w:type="dxa"/>
            <w:vMerge w:val="continue"/>
            <w:vAlign w:val="center"/>
          </w:tcPr>
          <w:p>
            <w:pPr>
              <w:widowControl/>
              <w:rPr>
                <w:rFonts w:ascii="仿宋" w:hAnsi="仿宋" w:eastAsia="仿宋" w:cs="宋体"/>
                <w:b/>
                <w:bCs/>
                <w:color w:val="000000"/>
                <w:szCs w:val="24"/>
              </w:rPr>
            </w:pPr>
          </w:p>
        </w:tc>
        <w:tc>
          <w:tcPr>
            <w:tcW w:w="992" w:type="dxa"/>
            <w:vMerge w:val="continue"/>
            <w:vAlign w:val="center"/>
          </w:tcPr>
          <w:p>
            <w:pPr>
              <w:widowControl/>
              <w:rPr>
                <w:rFonts w:ascii="仿宋" w:hAnsi="仿宋" w:eastAsia="仿宋" w:cs="宋体"/>
                <w:b/>
                <w:bCs/>
                <w:color w:val="000000"/>
                <w:szCs w:val="24"/>
              </w:rPr>
            </w:pPr>
          </w:p>
        </w:tc>
        <w:tc>
          <w:tcPr>
            <w:tcW w:w="1704" w:type="dxa"/>
            <w:vMerge w:val="continue"/>
            <w:vAlign w:val="center"/>
          </w:tcPr>
          <w:p>
            <w:pPr>
              <w:widowControl/>
              <w:rPr>
                <w:rFonts w:ascii="仿宋" w:hAnsi="仿宋" w:eastAsia="仿宋" w:cs="宋体"/>
                <w:b/>
                <w:bCs/>
                <w:color w:val="000000"/>
                <w:szCs w:val="24"/>
              </w:rPr>
            </w:pPr>
          </w:p>
        </w:tc>
        <w:tc>
          <w:tcPr>
            <w:tcW w:w="817" w:type="dxa"/>
            <w:vMerge w:val="continue"/>
            <w:vAlign w:val="center"/>
          </w:tcPr>
          <w:p>
            <w:pPr>
              <w:widowControl/>
              <w:rPr>
                <w:rFonts w:ascii="仿宋" w:hAnsi="仿宋" w:eastAsia="仿宋" w:cs="宋体"/>
                <w:b/>
                <w:bCs/>
                <w:color w:val="000000"/>
                <w:szCs w:val="24"/>
              </w:rPr>
            </w:pPr>
          </w:p>
        </w:tc>
        <w:tc>
          <w:tcPr>
            <w:tcW w:w="887" w:type="dxa"/>
            <w:vMerge w:val="continue"/>
            <w:vAlign w:val="center"/>
          </w:tcPr>
          <w:p>
            <w:pPr>
              <w:widowControl/>
              <w:rPr>
                <w:rFonts w:ascii="仿宋" w:hAnsi="仿宋" w:eastAsia="仿宋" w:cs="宋体"/>
                <w:b/>
                <w:bCs/>
                <w:color w:val="000000"/>
                <w:szCs w:val="24"/>
              </w:rPr>
            </w:pPr>
          </w:p>
        </w:tc>
        <w:tc>
          <w:tcPr>
            <w:tcW w:w="1273" w:type="dxa"/>
            <w:vMerge w:val="continue"/>
            <w:vAlign w:val="center"/>
          </w:tcPr>
          <w:p>
            <w:pPr>
              <w:widowControl/>
              <w:rPr>
                <w:rFonts w:ascii="仿宋" w:hAnsi="仿宋" w:eastAsia="仿宋" w:cs="宋体"/>
                <w:b/>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商服用地</w:t>
            </w:r>
          </w:p>
        </w:tc>
        <w:tc>
          <w:tcPr>
            <w:tcW w:w="1985"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441624S050000101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世纪广场（酒店）</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9513.7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商服用地</w:t>
            </w:r>
          </w:p>
        </w:tc>
        <w:tc>
          <w:tcPr>
            <w:tcW w:w="1985"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441624S050000201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国际商贸城</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56447.6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3</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441624H070100101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noWrap/>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世纪广场（住宅）</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3490.2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441624H070100201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百盛广场</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16986.8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5</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441624H070100301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宝信豪庭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19503.7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6</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441624H070100401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华城花园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16977.2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7</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441624H070100501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东方国际</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39168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8</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441624H070100601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亿和城市广场</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22397.2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9</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441624H070100701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东江雅苑</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12386.5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10</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441624H070100801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新城花园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11</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441624H070100901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学府花园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12</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441624H070101001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兴隆湾花园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20952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13</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441624H070101101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万和城</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46919.9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14</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441624H070101201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和平华府</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21543.3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15</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441624H070101301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和平碧桂园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109940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16</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441624H070101401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御龙居</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15436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17</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441624H070101501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南方家园</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18</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城镇住宅兼容商服用地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441624H070101601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翠景湾</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17641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428"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19</w:t>
            </w:r>
          </w:p>
        </w:tc>
        <w:tc>
          <w:tcPr>
            <w:tcW w:w="141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住宅用地</w:t>
            </w:r>
          </w:p>
        </w:tc>
        <w:tc>
          <w:tcPr>
            <w:tcW w:w="1985"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441624H070100101</w:t>
            </w:r>
          </w:p>
        </w:tc>
        <w:tc>
          <w:tcPr>
            <w:tcW w:w="992"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润良居</w:t>
            </w:r>
          </w:p>
        </w:tc>
        <w:tc>
          <w:tcPr>
            <w:tcW w:w="81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986.2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428"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20</w:t>
            </w:r>
          </w:p>
        </w:tc>
        <w:tc>
          <w:tcPr>
            <w:tcW w:w="1413"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工业用地</w:t>
            </w:r>
          </w:p>
        </w:tc>
        <w:tc>
          <w:tcPr>
            <w:tcW w:w="1985"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441624G060100101</w:t>
            </w:r>
          </w:p>
        </w:tc>
        <w:tc>
          <w:tcPr>
            <w:tcW w:w="992"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和平县冠华精密模具有限公司</w:t>
            </w:r>
          </w:p>
        </w:tc>
        <w:tc>
          <w:tcPr>
            <w:tcW w:w="817"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38385.5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8"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21</w:t>
            </w:r>
          </w:p>
        </w:tc>
        <w:tc>
          <w:tcPr>
            <w:tcW w:w="1413"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医疗卫生</w:t>
            </w:r>
          </w:p>
          <w:p>
            <w:pPr>
              <w:widowControl/>
              <w:jc w:val="center"/>
              <w:rPr>
                <w:rFonts w:ascii="仿宋" w:hAnsi="仿宋" w:eastAsia="仿宋" w:cs="宋体"/>
                <w:bCs/>
                <w:color w:val="000000"/>
                <w:szCs w:val="24"/>
              </w:rPr>
            </w:pPr>
            <w:r>
              <w:rPr>
                <w:rFonts w:hint="eastAsia" w:ascii="仿宋" w:hAnsi="仿宋" w:eastAsia="仿宋" w:cs="宋体"/>
                <w:bCs/>
                <w:color w:val="000000"/>
                <w:szCs w:val="24"/>
              </w:rPr>
              <w:t>用地</w:t>
            </w:r>
          </w:p>
        </w:tc>
        <w:tc>
          <w:tcPr>
            <w:tcW w:w="1985"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441624L080500101</w:t>
            </w:r>
          </w:p>
        </w:tc>
        <w:tc>
          <w:tcPr>
            <w:tcW w:w="992"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阳明镇</w:t>
            </w:r>
          </w:p>
        </w:tc>
        <w:tc>
          <w:tcPr>
            <w:tcW w:w="1704"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和康医院</w:t>
            </w:r>
          </w:p>
        </w:tc>
        <w:tc>
          <w:tcPr>
            <w:tcW w:w="817"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国有</w:t>
            </w:r>
          </w:p>
        </w:tc>
        <w:tc>
          <w:tcPr>
            <w:tcW w:w="887"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出让</w:t>
            </w:r>
          </w:p>
        </w:tc>
        <w:tc>
          <w:tcPr>
            <w:tcW w:w="1273" w:type="dxa"/>
            <w:tcBorders>
              <w:bottom w:val="single" w:color="auto" w:sz="4" w:space="0"/>
            </w:tcBorders>
            <w:shd w:val="clear" w:color="auto" w:fill="auto"/>
            <w:vAlign w:val="center"/>
          </w:tcPr>
          <w:p>
            <w:pPr>
              <w:widowControl/>
              <w:jc w:val="center"/>
              <w:rPr>
                <w:rFonts w:ascii="仿宋" w:hAnsi="仿宋" w:eastAsia="仿宋" w:cs="宋体"/>
                <w:bCs/>
                <w:color w:val="000000"/>
                <w:szCs w:val="24"/>
              </w:rPr>
            </w:pPr>
            <w:r>
              <w:rPr>
                <w:rFonts w:hint="eastAsia" w:ascii="仿宋" w:hAnsi="仿宋" w:eastAsia="仿宋" w:cs="宋体"/>
                <w:bCs/>
                <w:color w:val="000000"/>
                <w:szCs w:val="24"/>
              </w:rPr>
              <w:t>14200</w:t>
            </w:r>
          </w:p>
        </w:tc>
      </w:tr>
    </w:tbl>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jc w:val="left"/>
        <w:rPr>
          <w:rFonts w:ascii="Times New Roman" w:hAnsi="Times New Roman" w:eastAsia="仿宋_GB2312" w:cs="Times New Roman"/>
          <w:b/>
          <w:sz w:val="24"/>
          <w:szCs w:val="24"/>
        </w:rPr>
      </w:pPr>
    </w:p>
    <w:p>
      <w:pPr>
        <w:widowControl/>
        <w:jc w:val="left"/>
        <w:rPr>
          <w:rFonts w:ascii="Times New Roman" w:hAnsi="Times New Roman" w:eastAsia="仿宋_GB2312" w:cs="Times New Roman"/>
          <w:b/>
          <w:sz w:val="24"/>
          <w:szCs w:val="24"/>
        </w:rPr>
      </w:pPr>
      <w:r>
        <w:rPr>
          <w:rFonts w:ascii="仿宋" w:hAnsi="仿宋" w:eastAsia="仿宋" w:cs="仿宋"/>
          <w:sz w:val="18"/>
          <w:szCs w:val="18"/>
        </w:rPr>
        <w:drawing>
          <wp:inline distT="0" distB="0" distL="0" distR="0">
            <wp:extent cx="5238115" cy="7199630"/>
            <wp:effectExtent l="19050" t="0" r="40" b="0"/>
            <wp:docPr id="18" name="图片 18" descr="C:\Users\ADMINI~1\AppData\Local\Temp\WeChat Files\bc02d022071ebb5499bd39cd703c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WeChat Files\bc02d022071ebb5499bd39cd703c5c3.jpg"/>
                    <pic:cNvPicPr>
                      <a:picLocks noChangeAspect="1" noChangeArrowheads="1"/>
                    </pic:cNvPicPr>
                  </pic:nvPicPr>
                  <pic:blipFill>
                    <a:blip r:embed="rId8" cstate="print"/>
                    <a:srcRect l="2344" t="3536" r="2500" b="3978"/>
                    <a:stretch>
                      <a:fillRect/>
                    </a:stretch>
                  </pic:blipFill>
                  <pic:spPr>
                    <a:xfrm>
                      <a:off x="0" y="0"/>
                      <a:ext cx="5238710" cy="7200000"/>
                    </a:xfrm>
                    <a:prstGeom prst="rect">
                      <a:avLst/>
                    </a:prstGeom>
                    <a:noFill/>
                    <a:ln w="9525">
                      <a:noFill/>
                      <a:miter lim="800000"/>
                      <a:headEnd/>
                      <a:tailEnd/>
                    </a:ln>
                  </pic:spPr>
                </pic:pic>
              </a:graphicData>
            </a:graphic>
          </wp:inline>
        </w:drawing>
      </w:r>
    </w:p>
    <w:p>
      <w:pPr>
        <w:ind w:right="-20"/>
        <w:jc w:val="center"/>
        <w:rPr>
          <w:rFonts w:ascii="Times New Roman" w:hAnsi="Times New Roman" w:cs="Times New Roman"/>
          <w:b/>
          <w:sz w:val="20"/>
          <w:szCs w:val="20"/>
        </w:rPr>
      </w:pPr>
      <w:r>
        <w:rPr>
          <w:rFonts w:ascii="仿宋" w:hAnsi="仿宋" w:eastAsia="仿宋" w:cs="仿宋"/>
          <w:b/>
          <w:spacing w:val="15"/>
          <w:position w:val="-2"/>
          <w:sz w:val="22"/>
          <w:szCs w:val="24"/>
        </w:rPr>
        <w:t>图</w:t>
      </w:r>
      <w:r>
        <w:rPr>
          <w:rFonts w:ascii="仿宋" w:hAnsi="仿宋" w:eastAsia="仿宋" w:cs="仿宋"/>
          <w:b/>
          <w:spacing w:val="7"/>
          <w:position w:val="-2"/>
          <w:sz w:val="22"/>
          <w:szCs w:val="24"/>
        </w:rPr>
        <w:t>4-</w:t>
      </w:r>
      <w:r>
        <w:rPr>
          <w:rFonts w:hint="eastAsia" w:ascii="仿宋" w:hAnsi="仿宋" w:eastAsia="仿宋" w:cs="仿宋"/>
          <w:b/>
          <w:spacing w:val="7"/>
          <w:position w:val="-2"/>
          <w:sz w:val="22"/>
          <w:szCs w:val="24"/>
        </w:rPr>
        <w:t>2</w:t>
      </w:r>
      <w:r>
        <w:rPr>
          <w:rFonts w:ascii="仿宋" w:hAnsi="仿宋" w:eastAsia="仿宋" w:cs="仿宋"/>
          <w:b/>
          <w:spacing w:val="14"/>
          <w:position w:val="-2"/>
          <w:sz w:val="22"/>
          <w:szCs w:val="24"/>
        </w:rPr>
        <w:t>和平县</w:t>
      </w:r>
      <w:r>
        <w:rPr>
          <w:rFonts w:ascii="仿宋" w:hAnsi="仿宋" w:eastAsia="仿宋" w:cs="仿宋"/>
          <w:b/>
          <w:spacing w:val="12"/>
          <w:position w:val="-2"/>
          <w:sz w:val="22"/>
          <w:szCs w:val="24"/>
        </w:rPr>
        <w:t>城</w:t>
      </w:r>
      <w:r>
        <w:rPr>
          <w:rFonts w:ascii="仿宋" w:hAnsi="仿宋" w:eastAsia="仿宋" w:cs="仿宋"/>
          <w:b/>
          <w:spacing w:val="14"/>
          <w:position w:val="-2"/>
          <w:sz w:val="22"/>
          <w:szCs w:val="24"/>
        </w:rPr>
        <w:t>镇</w:t>
      </w:r>
      <w:r>
        <w:rPr>
          <w:rFonts w:ascii="仿宋" w:hAnsi="仿宋" w:eastAsia="仿宋" w:cs="仿宋"/>
          <w:b/>
          <w:spacing w:val="12"/>
          <w:position w:val="-2"/>
          <w:sz w:val="22"/>
          <w:szCs w:val="24"/>
        </w:rPr>
        <w:t>国有</w:t>
      </w:r>
      <w:r>
        <w:rPr>
          <w:rFonts w:ascii="仿宋" w:hAnsi="仿宋" w:eastAsia="仿宋" w:cs="仿宋"/>
          <w:b/>
          <w:spacing w:val="14"/>
          <w:position w:val="-2"/>
          <w:sz w:val="22"/>
          <w:szCs w:val="24"/>
        </w:rPr>
        <w:t>建设用</w:t>
      </w:r>
      <w:r>
        <w:rPr>
          <w:rFonts w:ascii="仿宋" w:hAnsi="仿宋" w:eastAsia="仿宋" w:cs="仿宋"/>
          <w:b/>
          <w:spacing w:val="12"/>
          <w:position w:val="-2"/>
          <w:sz w:val="22"/>
          <w:szCs w:val="24"/>
        </w:rPr>
        <w:t>地</w:t>
      </w:r>
      <w:r>
        <w:rPr>
          <w:rFonts w:ascii="仿宋" w:hAnsi="仿宋" w:eastAsia="仿宋" w:cs="仿宋"/>
          <w:b/>
          <w:spacing w:val="14"/>
          <w:position w:val="-2"/>
          <w:sz w:val="22"/>
          <w:szCs w:val="24"/>
        </w:rPr>
        <w:t>标</w:t>
      </w:r>
      <w:r>
        <w:rPr>
          <w:rFonts w:ascii="仿宋" w:hAnsi="仿宋" w:eastAsia="仿宋" w:cs="仿宋"/>
          <w:b/>
          <w:spacing w:val="12"/>
          <w:position w:val="-2"/>
          <w:sz w:val="22"/>
          <w:szCs w:val="24"/>
        </w:rPr>
        <w:t>准宗</w:t>
      </w:r>
      <w:r>
        <w:rPr>
          <w:rFonts w:ascii="仿宋" w:hAnsi="仿宋" w:eastAsia="仿宋" w:cs="仿宋"/>
          <w:b/>
          <w:spacing w:val="14"/>
          <w:position w:val="-2"/>
          <w:sz w:val="22"/>
          <w:szCs w:val="24"/>
        </w:rPr>
        <w:t>地</w:t>
      </w:r>
      <w:r>
        <w:rPr>
          <w:rFonts w:ascii="仿宋" w:hAnsi="仿宋" w:eastAsia="仿宋" w:cs="仿宋"/>
          <w:b/>
          <w:spacing w:val="12"/>
          <w:position w:val="-2"/>
          <w:sz w:val="22"/>
          <w:szCs w:val="24"/>
        </w:rPr>
        <w:t>分</w:t>
      </w:r>
      <w:r>
        <w:rPr>
          <w:rFonts w:ascii="仿宋" w:hAnsi="仿宋" w:eastAsia="仿宋" w:cs="仿宋"/>
          <w:b/>
          <w:spacing w:val="14"/>
          <w:position w:val="-2"/>
          <w:sz w:val="22"/>
          <w:szCs w:val="24"/>
        </w:rPr>
        <w:t>布</w:t>
      </w:r>
      <w:r>
        <w:rPr>
          <w:rFonts w:ascii="仿宋" w:hAnsi="仿宋" w:eastAsia="仿宋" w:cs="仿宋"/>
          <w:b/>
          <w:position w:val="-2"/>
          <w:sz w:val="22"/>
          <w:szCs w:val="24"/>
        </w:rPr>
        <w:t>图</w:t>
      </w:r>
    </w:p>
    <w:p>
      <w:pPr>
        <w:widowControl/>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br w:type="page"/>
      </w:r>
    </w:p>
    <w:p>
      <w:pPr>
        <w:widowControl/>
        <w:adjustRightInd w:val="0"/>
        <w:snapToGrid w:val="0"/>
        <w:spacing w:line="360" w:lineRule="auto"/>
        <w:jc w:val="left"/>
        <w:outlineLvl w:val="0"/>
        <w:rPr>
          <w:rFonts w:ascii="Times New Roman" w:hAnsi="Times New Roman" w:eastAsia="仿宋_GB2312" w:cs="Times New Roman"/>
          <w:b/>
          <w:kern w:val="0"/>
          <w:sz w:val="28"/>
        </w:rPr>
      </w:pPr>
      <w:bookmarkStart w:id="213" w:name="_Toc61275841"/>
      <w:r>
        <w:rPr>
          <w:rFonts w:ascii="Times New Roman" w:hAnsi="Times New Roman" w:eastAsia="仿宋_GB2312" w:cs="Times New Roman"/>
          <w:b/>
          <w:kern w:val="0"/>
          <w:sz w:val="30"/>
          <w:szCs w:val="30"/>
        </w:rPr>
        <w:t>五、标定地价初步成果</w:t>
      </w:r>
      <w:bookmarkEnd w:id="213"/>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1、标定地价建议值及结果对比表</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2、标定地价标定区域布设图</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hint="eastAsia" w:ascii="Times New Roman" w:hAnsi="Times New Roman" w:eastAsia="仿宋_GB2312" w:cs="Times New Roman"/>
          <w:kern w:val="0"/>
          <w:sz w:val="28"/>
        </w:rPr>
        <w:t>3、</w:t>
      </w:r>
      <w:r>
        <w:rPr>
          <w:rFonts w:ascii="Times New Roman" w:hAnsi="Times New Roman" w:eastAsia="仿宋_GB2312" w:cs="Times New Roman"/>
          <w:kern w:val="0"/>
          <w:sz w:val="28"/>
        </w:rPr>
        <w:t>标定地价标定</w:t>
      </w:r>
      <w:r>
        <w:rPr>
          <w:rFonts w:hint="eastAsia" w:ascii="Times New Roman" w:hAnsi="Times New Roman" w:eastAsia="仿宋_GB2312" w:cs="Times New Roman"/>
          <w:kern w:val="0"/>
          <w:sz w:val="28"/>
        </w:rPr>
        <w:t>宗地</w:t>
      </w:r>
      <w:r>
        <w:rPr>
          <w:rFonts w:ascii="Times New Roman" w:hAnsi="Times New Roman" w:eastAsia="仿宋_GB2312" w:cs="Times New Roman"/>
          <w:kern w:val="0"/>
          <w:sz w:val="28"/>
        </w:rPr>
        <w:t>布设图</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hint="eastAsia" w:ascii="Times New Roman" w:hAnsi="Times New Roman" w:eastAsia="仿宋_GB2312" w:cs="Times New Roman"/>
          <w:kern w:val="0"/>
          <w:sz w:val="28"/>
        </w:rPr>
        <w:t>4、和平县2020年城镇国有建设用地标定地价图</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r>
        <w:rPr>
          <w:rFonts w:ascii="Times New Roman" w:hAnsi="Times New Roman" w:eastAsia="仿宋_GB2312" w:cs="Times New Roman"/>
          <w:kern w:val="0"/>
          <w:sz w:val="28"/>
        </w:rPr>
        <w:t>标定地价初步成果详见附件1标定地价建议值及结果对比表</w:t>
      </w:r>
      <w:r>
        <w:rPr>
          <w:rFonts w:hint="eastAsia" w:ascii="Times New Roman" w:hAnsi="Times New Roman" w:eastAsia="仿宋_GB2312" w:cs="Times New Roman"/>
          <w:kern w:val="0"/>
          <w:sz w:val="28"/>
        </w:rPr>
        <w:t>、</w:t>
      </w:r>
      <w:r>
        <w:rPr>
          <w:rFonts w:ascii="Times New Roman" w:hAnsi="Times New Roman" w:eastAsia="仿宋_GB2312" w:cs="Times New Roman"/>
          <w:kern w:val="0"/>
          <w:sz w:val="28"/>
        </w:rPr>
        <w:t>附件2标定地价标定区域布设图</w:t>
      </w:r>
      <w:r>
        <w:rPr>
          <w:rFonts w:hint="eastAsia" w:ascii="Times New Roman" w:hAnsi="Times New Roman" w:eastAsia="仿宋_GB2312" w:cs="Times New Roman"/>
          <w:kern w:val="0"/>
          <w:sz w:val="28"/>
        </w:rPr>
        <w:t>、附件3</w:t>
      </w:r>
      <w:r>
        <w:rPr>
          <w:rFonts w:ascii="Times New Roman" w:hAnsi="Times New Roman" w:eastAsia="仿宋_GB2312" w:cs="Times New Roman"/>
          <w:kern w:val="0"/>
          <w:sz w:val="28"/>
        </w:rPr>
        <w:t>标定地价标定宗地布设图</w:t>
      </w:r>
      <w:r>
        <w:rPr>
          <w:rFonts w:hint="eastAsia" w:ascii="Times New Roman" w:hAnsi="Times New Roman" w:eastAsia="仿宋_GB2312" w:cs="Times New Roman"/>
          <w:kern w:val="0"/>
          <w:sz w:val="28"/>
        </w:rPr>
        <w:t>和附件4和平县2020年城镇国有建设用地标定地价图</w:t>
      </w:r>
      <w:r>
        <w:rPr>
          <w:rFonts w:ascii="Times New Roman" w:hAnsi="Times New Roman" w:eastAsia="仿宋_GB2312" w:cs="Times New Roman"/>
          <w:kern w:val="0"/>
          <w:sz w:val="28"/>
        </w:rPr>
        <w:t>。</w:t>
      </w:r>
    </w:p>
    <w:p>
      <w:pPr>
        <w:widowControl/>
        <w:adjustRightInd w:val="0"/>
        <w:snapToGrid w:val="0"/>
        <w:spacing w:line="360" w:lineRule="auto"/>
        <w:ind w:firstLine="560" w:firstLineChars="200"/>
        <w:jc w:val="left"/>
        <w:rPr>
          <w:rFonts w:ascii="Times New Roman" w:hAnsi="Times New Roman" w:eastAsia="仿宋_GB2312" w:cs="Times New Roman"/>
          <w:kern w:val="0"/>
          <w:sz w:val="28"/>
        </w:rPr>
      </w:pPr>
    </w:p>
    <w:p>
      <w:pPr>
        <w:widowControl/>
        <w:adjustRightInd w:val="0"/>
        <w:snapToGrid w:val="0"/>
        <w:spacing w:line="360" w:lineRule="auto"/>
        <w:ind w:firstLine="560" w:firstLineChars="200"/>
        <w:jc w:val="left"/>
        <w:rPr>
          <w:rFonts w:ascii="Times New Roman" w:hAnsi="Times New Roman" w:eastAsia="仿宋_GB2312" w:cs="Times New Roman"/>
          <w:kern w:val="0"/>
          <w:sz w:val="28"/>
        </w:rPr>
        <w:sectPr>
          <w:pgSz w:w="11906" w:h="16838"/>
          <w:pgMar w:top="1440" w:right="1800" w:bottom="1440" w:left="1800" w:header="851" w:footer="992" w:gutter="0"/>
          <w:pgNumType w:start="1"/>
          <w:cols w:space="425" w:num="1"/>
          <w:docGrid w:type="lines" w:linePitch="312" w:charSpace="0"/>
        </w:sect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14" w:name="_Toc61275842"/>
      <w:r>
        <w:rPr>
          <w:rFonts w:ascii="Times New Roman" w:hAnsi="Times New Roman" w:eastAsia="仿宋_GB2312" w:cs="Times New Roman"/>
          <w:b/>
          <w:kern w:val="0"/>
          <w:sz w:val="30"/>
          <w:szCs w:val="30"/>
        </w:rPr>
        <w:t>附件1标定地价建议值及结果对比表</w:t>
      </w:r>
      <w:bookmarkEnd w:id="214"/>
    </w:p>
    <w:tbl>
      <w:tblPr>
        <w:tblStyle w:val="13"/>
        <w:tblW w:w="14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97"/>
        <w:gridCol w:w="1505"/>
        <w:gridCol w:w="1277"/>
        <w:gridCol w:w="851"/>
        <w:gridCol w:w="948"/>
        <w:gridCol w:w="1268"/>
        <w:gridCol w:w="934"/>
        <w:gridCol w:w="960"/>
        <w:gridCol w:w="905"/>
        <w:gridCol w:w="743"/>
        <w:gridCol w:w="763"/>
        <w:gridCol w:w="84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75" w:type="dxa"/>
            <w:vMerge w:val="restart"/>
            <w:vAlign w:val="center"/>
          </w:tcPr>
          <w:p>
            <w:pPr>
              <w:jc w:val="center"/>
              <w:rPr>
                <w:rFonts w:ascii="仿宋" w:hAnsi="仿宋" w:eastAsia="仿宋"/>
                <w:b/>
                <w:szCs w:val="21"/>
              </w:rPr>
            </w:pPr>
            <w:r>
              <w:rPr>
                <w:rFonts w:hint="eastAsia" w:ascii="仿宋" w:hAnsi="仿宋" w:eastAsia="仿宋"/>
                <w:b/>
                <w:szCs w:val="21"/>
              </w:rPr>
              <w:t>序号</w:t>
            </w:r>
          </w:p>
        </w:tc>
        <w:tc>
          <w:tcPr>
            <w:tcW w:w="1897" w:type="dxa"/>
            <w:vMerge w:val="restart"/>
            <w:vAlign w:val="center"/>
          </w:tcPr>
          <w:p>
            <w:pPr>
              <w:jc w:val="center"/>
              <w:rPr>
                <w:rFonts w:ascii="仿宋" w:hAnsi="仿宋" w:eastAsia="仿宋"/>
                <w:b/>
                <w:szCs w:val="21"/>
              </w:rPr>
            </w:pPr>
            <w:r>
              <w:rPr>
                <w:rFonts w:hint="eastAsia" w:ascii="仿宋" w:hAnsi="仿宋" w:eastAsia="仿宋"/>
                <w:b/>
                <w:szCs w:val="21"/>
              </w:rPr>
              <w:t>标准宗地编码</w:t>
            </w:r>
          </w:p>
        </w:tc>
        <w:tc>
          <w:tcPr>
            <w:tcW w:w="1505" w:type="dxa"/>
            <w:vMerge w:val="restart"/>
            <w:vAlign w:val="center"/>
          </w:tcPr>
          <w:p>
            <w:pPr>
              <w:jc w:val="center"/>
              <w:rPr>
                <w:rFonts w:ascii="仿宋" w:hAnsi="仿宋" w:eastAsia="仿宋"/>
                <w:b/>
                <w:szCs w:val="21"/>
              </w:rPr>
            </w:pPr>
            <w:r>
              <w:rPr>
                <w:rFonts w:hint="eastAsia" w:ascii="仿宋" w:hAnsi="仿宋" w:eastAsia="仿宋"/>
                <w:b/>
                <w:szCs w:val="21"/>
              </w:rPr>
              <w:t>标准宗地</w:t>
            </w:r>
          </w:p>
          <w:p>
            <w:pPr>
              <w:jc w:val="center"/>
              <w:rPr>
                <w:rFonts w:ascii="仿宋" w:hAnsi="仿宋" w:eastAsia="仿宋"/>
                <w:b/>
                <w:szCs w:val="21"/>
              </w:rPr>
            </w:pPr>
            <w:r>
              <w:rPr>
                <w:rFonts w:hint="eastAsia" w:ascii="仿宋" w:hAnsi="仿宋" w:eastAsia="仿宋"/>
                <w:b/>
                <w:szCs w:val="21"/>
              </w:rPr>
              <w:t>名称</w:t>
            </w:r>
          </w:p>
        </w:tc>
        <w:tc>
          <w:tcPr>
            <w:tcW w:w="3076" w:type="dxa"/>
            <w:gridSpan w:val="3"/>
            <w:vAlign w:val="center"/>
          </w:tcPr>
          <w:p>
            <w:pPr>
              <w:jc w:val="center"/>
              <w:rPr>
                <w:rFonts w:ascii="仿宋" w:hAnsi="仿宋" w:eastAsia="仿宋"/>
                <w:b/>
                <w:szCs w:val="21"/>
              </w:rPr>
            </w:pPr>
            <w:r>
              <w:rPr>
                <w:rFonts w:hint="eastAsia" w:ascii="仿宋" w:hAnsi="仿宋" w:eastAsia="仿宋"/>
                <w:b/>
                <w:szCs w:val="21"/>
              </w:rPr>
              <w:t>评估师1采集</w:t>
            </w:r>
          </w:p>
        </w:tc>
        <w:tc>
          <w:tcPr>
            <w:tcW w:w="3162" w:type="dxa"/>
            <w:gridSpan w:val="3"/>
            <w:vAlign w:val="center"/>
          </w:tcPr>
          <w:p>
            <w:pPr>
              <w:jc w:val="center"/>
              <w:rPr>
                <w:rFonts w:ascii="仿宋" w:hAnsi="仿宋" w:eastAsia="仿宋"/>
                <w:b/>
                <w:szCs w:val="21"/>
              </w:rPr>
            </w:pPr>
            <w:r>
              <w:rPr>
                <w:rFonts w:hint="eastAsia" w:ascii="仿宋" w:hAnsi="仿宋" w:eastAsia="仿宋"/>
                <w:b/>
                <w:szCs w:val="21"/>
              </w:rPr>
              <w:t>评估师2采集</w:t>
            </w:r>
          </w:p>
        </w:tc>
        <w:tc>
          <w:tcPr>
            <w:tcW w:w="1648" w:type="dxa"/>
            <w:gridSpan w:val="2"/>
            <w:vAlign w:val="center"/>
          </w:tcPr>
          <w:p>
            <w:pPr>
              <w:jc w:val="center"/>
              <w:rPr>
                <w:rFonts w:ascii="仿宋" w:hAnsi="仿宋" w:eastAsia="仿宋"/>
                <w:b/>
                <w:szCs w:val="21"/>
              </w:rPr>
            </w:pPr>
            <w:r>
              <w:rPr>
                <w:rFonts w:hint="eastAsia" w:ascii="仿宋" w:hAnsi="仿宋" w:eastAsia="仿宋"/>
                <w:b/>
                <w:szCs w:val="21"/>
              </w:rPr>
              <w:t>建议标定地价</w:t>
            </w:r>
          </w:p>
        </w:tc>
        <w:tc>
          <w:tcPr>
            <w:tcW w:w="1611" w:type="dxa"/>
            <w:gridSpan w:val="2"/>
            <w:vAlign w:val="center"/>
          </w:tcPr>
          <w:p>
            <w:pPr>
              <w:jc w:val="center"/>
              <w:rPr>
                <w:rFonts w:ascii="仿宋" w:hAnsi="仿宋" w:eastAsia="仿宋"/>
                <w:b/>
                <w:szCs w:val="21"/>
              </w:rPr>
            </w:pPr>
            <w:r>
              <w:rPr>
                <w:rFonts w:hint="eastAsia" w:ascii="仿宋" w:hAnsi="仿宋" w:eastAsia="仿宋"/>
                <w:b/>
                <w:szCs w:val="21"/>
              </w:rPr>
              <w:t>确定标定地价</w:t>
            </w:r>
          </w:p>
        </w:tc>
        <w:tc>
          <w:tcPr>
            <w:tcW w:w="708" w:type="dxa"/>
            <w:vMerge w:val="restart"/>
            <w:vAlign w:val="center"/>
          </w:tcPr>
          <w:p>
            <w:pPr>
              <w:jc w:val="center"/>
              <w:rPr>
                <w:rFonts w:ascii="仿宋" w:hAnsi="仿宋" w:eastAsia="仿宋"/>
                <w:b/>
                <w:szCs w:val="21"/>
              </w:rPr>
            </w:pPr>
            <w:r>
              <w:rPr>
                <w:rFonts w:hint="eastAsia" w:ascii="仿宋" w:hAnsi="仿宋" w:eastAsia="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75" w:type="dxa"/>
            <w:vMerge w:val="continue"/>
            <w:vAlign w:val="center"/>
          </w:tcPr>
          <w:p>
            <w:pPr>
              <w:jc w:val="center"/>
              <w:rPr>
                <w:rFonts w:ascii="仿宋" w:hAnsi="仿宋" w:eastAsia="仿宋"/>
                <w:szCs w:val="21"/>
              </w:rPr>
            </w:pPr>
          </w:p>
        </w:tc>
        <w:tc>
          <w:tcPr>
            <w:tcW w:w="1897" w:type="dxa"/>
            <w:vMerge w:val="continue"/>
            <w:vAlign w:val="center"/>
          </w:tcPr>
          <w:p>
            <w:pPr>
              <w:jc w:val="center"/>
              <w:rPr>
                <w:rFonts w:ascii="仿宋" w:hAnsi="仿宋" w:eastAsia="仿宋"/>
                <w:szCs w:val="21"/>
              </w:rPr>
            </w:pPr>
          </w:p>
        </w:tc>
        <w:tc>
          <w:tcPr>
            <w:tcW w:w="1505" w:type="dxa"/>
            <w:vMerge w:val="continue"/>
            <w:vAlign w:val="center"/>
          </w:tcPr>
          <w:p>
            <w:pPr>
              <w:jc w:val="center"/>
              <w:rPr>
                <w:rFonts w:ascii="仿宋" w:hAnsi="仿宋" w:eastAsia="仿宋"/>
                <w:szCs w:val="21"/>
              </w:rPr>
            </w:pPr>
          </w:p>
        </w:tc>
        <w:tc>
          <w:tcPr>
            <w:tcW w:w="1277" w:type="dxa"/>
            <w:vAlign w:val="center"/>
          </w:tcPr>
          <w:p>
            <w:pPr>
              <w:jc w:val="center"/>
              <w:rPr>
                <w:rFonts w:ascii="仿宋" w:hAnsi="仿宋" w:eastAsia="仿宋"/>
                <w:b/>
                <w:szCs w:val="21"/>
              </w:rPr>
            </w:pPr>
            <w:r>
              <w:rPr>
                <w:rFonts w:hint="eastAsia" w:ascii="仿宋" w:hAnsi="仿宋" w:eastAsia="仿宋"/>
                <w:b/>
                <w:szCs w:val="21"/>
              </w:rPr>
              <w:t>评估师1</w:t>
            </w:r>
          </w:p>
          <w:p>
            <w:pPr>
              <w:jc w:val="center"/>
              <w:rPr>
                <w:rFonts w:ascii="仿宋" w:hAnsi="仿宋" w:eastAsia="仿宋"/>
                <w:b/>
                <w:szCs w:val="21"/>
              </w:rPr>
            </w:pPr>
            <w:r>
              <w:rPr>
                <w:rFonts w:hint="eastAsia" w:ascii="仿宋" w:hAnsi="仿宋" w:eastAsia="仿宋"/>
                <w:b/>
                <w:szCs w:val="21"/>
              </w:rPr>
              <w:t>证号</w:t>
            </w:r>
          </w:p>
        </w:tc>
        <w:tc>
          <w:tcPr>
            <w:tcW w:w="851" w:type="dxa"/>
            <w:vAlign w:val="center"/>
          </w:tcPr>
          <w:p>
            <w:pPr>
              <w:jc w:val="center"/>
              <w:rPr>
                <w:rFonts w:ascii="仿宋" w:hAnsi="仿宋" w:eastAsia="仿宋"/>
                <w:b/>
                <w:szCs w:val="21"/>
              </w:rPr>
            </w:pPr>
            <w:r>
              <w:rPr>
                <w:rFonts w:hint="eastAsia" w:ascii="仿宋" w:hAnsi="仿宋" w:eastAsia="仿宋"/>
                <w:b/>
                <w:szCs w:val="21"/>
              </w:rPr>
              <w:t>设定内涵条件下评估楼面</w:t>
            </w:r>
          </w:p>
          <w:p>
            <w:pPr>
              <w:jc w:val="center"/>
              <w:rPr>
                <w:rFonts w:ascii="仿宋" w:hAnsi="仿宋" w:eastAsia="仿宋"/>
                <w:b/>
                <w:szCs w:val="21"/>
              </w:rPr>
            </w:pPr>
            <w:r>
              <w:rPr>
                <w:rFonts w:hint="eastAsia" w:ascii="仿宋" w:hAnsi="仿宋" w:eastAsia="仿宋"/>
                <w:b/>
                <w:szCs w:val="21"/>
              </w:rPr>
              <w:t>地价</w:t>
            </w:r>
          </w:p>
        </w:tc>
        <w:tc>
          <w:tcPr>
            <w:tcW w:w="948" w:type="dxa"/>
            <w:vAlign w:val="center"/>
          </w:tcPr>
          <w:p>
            <w:pPr>
              <w:jc w:val="center"/>
              <w:rPr>
                <w:rFonts w:ascii="仿宋" w:hAnsi="仿宋" w:eastAsia="仿宋"/>
                <w:b/>
                <w:szCs w:val="21"/>
              </w:rPr>
            </w:pPr>
            <w:r>
              <w:rPr>
                <w:rFonts w:hint="eastAsia" w:ascii="仿宋" w:hAnsi="仿宋" w:eastAsia="仿宋"/>
                <w:b/>
                <w:szCs w:val="21"/>
              </w:rPr>
              <w:t>设定内涵条件下评估地面</w:t>
            </w:r>
          </w:p>
          <w:p>
            <w:pPr>
              <w:jc w:val="center"/>
              <w:rPr>
                <w:rFonts w:ascii="仿宋" w:hAnsi="仿宋" w:eastAsia="仿宋"/>
                <w:b/>
                <w:szCs w:val="21"/>
              </w:rPr>
            </w:pPr>
            <w:r>
              <w:rPr>
                <w:rFonts w:hint="eastAsia" w:ascii="仿宋" w:hAnsi="仿宋" w:eastAsia="仿宋"/>
                <w:b/>
                <w:szCs w:val="21"/>
              </w:rPr>
              <w:t>地价</w:t>
            </w:r>
          </w:p>
        </w:tc>
        <w:tc>
          <w:tcPr>
            <w:tcW w:w="1268" w:type="dxa"/>
            <w:vAlign w:val="center"/>
          </w:tcPr>
          <w:p>
            <w:pPr>
              <w:jc w:val="center"/>
              <w:rPr>
                <w:rFonts w:ascii="仿宋" w:hAnsi="仿宋" w:eastAsia="仿宋"/>
                <w:b/>
                <w:szCs w:val="21"/>
              </w:rPr>
            </w:pPr>
            <w:r>
              <w:rPr>
                <w:rFonts w:hint="eastAsia" w:ascii="仿宋" w:hAnsi="仿宋" w:eastAsia="仿宋"/>
                <w:b/>
                <w:szCs w:val="21"/>
              </w:rPr>
              <w:t>评估师2</w:t>
            </w:r>
          </w:p>
          <w:p>
            <w:pPr>
              <w:jc w:val="center"/>
              <w:rPr>
                <w:rFonts w:ascii="仿宋" w:hAnsi="仿宋" w:eastAsia="仿宋"/>
                <w:b/>
                <w:szCs w:val="21"/>
              </w:rPr>
            </w:pPr>
            <w:r>
              <w:rPr>
                <w:rFonts w:hint="eastAsia" w:ascii="仿宋" w:hAnsi="仿宋" w:eastAsia="仿宋"/>
                <w:b/>
                <w:szCs w:val="21"/>
              </w:rPr>
              <w:t>证号</w:t>
            </w:r>
          </w:p>
        </w:tc>
        <w:tc>
          <w:tcPr>
            <w:tcW w:w="934" w:type="dxa"/>
            <w:vAlign w:val="center"/>
          </w:tcPr>
          <w:p>
            <w:pPr>
              <w:jc w:val="center"/>
              <w:rPr>
                <w:rFonts w:ascii="仿宋" w:hAnsi="仿宋" w:eastAsia="仿宋"/>
                <w:b/>
                <w:szCs w:val="21"/>
              </w:rPr>
            </w:pPr>
            <w:r>
              <w:rPr>
                <w:rFonts w:hint="eastAsia" w:ascii="仿宋" w:hAnsi="仿宋" w:eastAsia="仿宋"/>
                <w:b/>
                <w:szCs w:val="21"/>
              </w:rPr>
              <w:t>设定内涵条件下评估楼面</w:t>
            </w:r>
          </w:p>
          <w:p>
            <w:pPr>
              <w:jc w:val="center"/>
              <w:rPr>
                <w:rFonts w:ascii="仿宋" w:hAnsi="仿宋" w:eastAsia="仿宋"/>
                <w:b/>
                <w:szCs w:val="21"/>
              </w:rPr>
            </w:pPr>
            <w:r>
              <w:rPr>
                <w:rFonts w:hint="eastAsia" w:ascii="仿宋" w:hAnsi="仿宋" w:eastAsia="仿宋"/>
                <w:b/>
                <w:szCs w:val="21"/>
              </w:rPr>
              <w:t>地价</w:t>
            </w:r>
          </w:p>
        </w:tc>
        <w:tc>
          <w:tcPr>
            <w:tcW w:w="960" w:type="dxa"/>
            <w:vAlign w:val="center"/>
          </w:tcPr>
          <w:p>
            <w:pPr>
              <w:jc w:val="center"/>
              <w:rPr>
                <w:rFonts w:ascii="仿宋" w:hAnsi="仿宋" w:eastAsia="仿宋"/>
                <w:b/>
                <w:szCs w:val="21"/>
              </w:rPr>
            </w:pPr>
            <w:r>
              <w:rPr>
                <w:rFonts w:hint="eastAsia" w:ascii="仿宋" w:hAnsi="仿宋" w:eastAsia="仿宋"/>
                <w:b/>
                <w:szCs w:val="21"/>
              </w:rPr>
              <w:t>设定内涵条件下评估地面</w:t>
            </w:r>
          </w:p>
          <w:p>
            <w:pPr>
              <w:jc w:val="center"/>
              <w:rPr>
                <w:rFonts w:ascii="仿宋" w:hAnsi="仿宋" w:eastAsia="仿宋"/>
                <w:b/>
                <w:szCs w:val="21"/>
              </w:rPr>
            </w:pPr>
            <w:r>
              <w:rPr>
                <w:rFonts w:hint="eastAsia" w:ascii="仿宋" w:hAnsi="仿宋" w:eastAsia="仿宋"/>
                <w:b/>
                <w:szCs w:val="21"/>
              </w:rPr>
              <w:t>地价</w:t>
            </w:r>
          </w:p>
        </w:tc>
        <w:tc>
          <w:tcPr>
            <w:tcW w:w="905" w:type="dxa"/>
            <w:vAlign w:val="center"/>
          </w:tcPr>
          <w:p>
            <w:pPr>
              <w:jc w:val="center"/>
              <w:rPr>
                <w:rFonts w:ascii="仿宋" w:hAnsi="仿宋" w:eastAsia="仿宋"/>
                <w:b/>
                <w:szCs w:val="21"/>
              </w:rPr>
            </w:pPr>
            <w:r>
              <w:rPr>
                <w:rFonts w:hint="eastAsia" w:ascii="仿宋" w:hAnsi="仿宋" w:eastAsia="仿宋"/>
                <w:b/>
                <w:szCs w:val="21"/>
              </w:rPr>
              <w:t>楼面</w:t>
            </w:r>
          </w:p>
          <w:p>
            <w:pPr>
              <w:jc w:val="center"/>
              <w:rPr>
                <w:rFonts w:ascii="仿宋" w:hAnsi="仿宋" w:eastAsia="仿宋"/>
                <w:b/>
                <w:szCs w:val="21"/>
              </w:rPr>
            </w:pPr>
            <w:r>
              <w:rPr>
                <w:rFonts w:hint="eastAsia" w:ascii="仿宋" w:hAnsi="仿宋" w:eastAsia="仿宋"/>
                <w:b/>
                <w:szCs w:val="21"/>
              </w:rPr>
              <w:t>地价</w:t>
            </w:r>
          </w:p>
        </w:tc>
        <w:tc>
          <w:tcPr>
            <w:tcW w:w="743" w:type="dxa"/>
            <w:vAlign w:val="center"/>
          </w:tcPr>
          <w:p>
            <w:pPr>
              <w:jc w:val="center"/>
              <w:rPr>
                <w:rFonts w:ascii="仿宋" w:hAnsi="仿宋" w:eastAsia="仿宋"/>
                <w:b/>
                <w:szCs w:val="21"/>
              </w:rPr>
            </w:pPr>
            <w:r>
              <w:rPr>
                <w:rFonts w:hint="eastAsia" w:ascii="仿宋" w:hAnsi="仿宋" w:eastAsia="仿宋"/>
                <w:b/>
                <w:szCs w:val="21"/>
              </w:rPr>
              <w:t>地面地价</w:t>
            </w:r>
          </w:p>
        </w:tc>
        <w:tc>
          <w:tcPr>
            <w:tcW w:w="763" w:type="dxa"/>
            <w:vAlign w:val="center"/>
          </w:tcPr>
          <w:p>
            <w:pPr>
              <w:jc w:val="center"/>
              <w:rPr>
                <w:rFonts w:ascii="仿宋" w:hAnsi="仿宋" w:eastAsia="仿宋"/>
                <w:b/>
                <w:szCs w:val="21"/>
              </w:rPr>
            </w:pPr>
            <w:r>
              <w:rPr>
                <w:rFonts w:hint="eastAsia" w:ascii="仿宋" w:hAnsi="仿宋" w:eastAsia="仿宋"/>
                <w:b/>
                <w:szCs w:val="21"/>
              </w:rPr>
              <w:t>楼面地价</w:t>
            </w:r>
          </w:p>
        </w:tc>
        <w:tc>
          <w:tcPr>
            <w:tcW w:w="848" w:type="dxa"/>
            <w:vAlign w:val="center"/>
          </w:tcPr>
          <w:p>
            <w:pPr>
              <w:jc w:val="center"/>
              <w:rPr>
                <w:rFonts w:ascii="仿宋" w:hAnsi="仿宋" w:eastAsia="仿宋"/>
                <w:b/>
                <w:szCs w:val="21"/>
              </w:rPr>
            </w:pPr>
            <w:r>
              <w:rPr>
                <w:rFonts w:hint="eastAsia" w:ascii="仿宋" w:hAnsi="仿宋" w:eastAsia="仿宋"/>
                <w:b/>
                <w:szCs w:val="21"/>
              </w:rPr>
              <w:t>地面地价</w:t>
            </w:r>
          </w:p>
        </w:tc>
        <w:tc>
          <w:tcPr>
            <w:tcW w:w="708" w:type="dxa"/>
            <w:vMerge w:val="continue"/>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441624S050000101</w:t>
            </w:r>
          </w:p>
        </w:tc>
        <w:tc>
          <w:tcPr>
            <w:tcW w:w="1505" w:type="dxa"/>
            <w:vAlign w:val="center"/>
          </w:tcPr>
          <w:p>
            <w:pPr>
              <w:jc w:val="center"/>
              <w:rPr>
                <w:rFonts w:ascii="仿宋" w:hAnsi="仿宋" w:eastAsia="仿宋"/>
                <w:bCs/>
                <w:color w:val="000000"/>
                <w:szCs w:val="21"/>
              </w:rPr>
            </w:pPr>
            <w:r>
              <w:rPr>
                <w:rFonts w:hint="eastAsia" w:ascii="仿宋" w:hAnsi="仿宋" w:eastAsia="仿宋"/>
                <w:bCs/>
                <w:color w:val="000000"/>
                <w:szCs w:val="21"/>
              </w:rPr>
              <w:t>世纪广场</w:t>
            </w:r>
          </w:p>
          <w:p>
            <w:pPr>
              <w:jc w:val="center"/>
              <w:rPr>
                <w:rFonts w:ascii="仿宋" w:hAnsi="仿宋" w:eastAsia="仿宋" w:cs="宋体"/>
                <w:bCs/>
                <w:color w:val="000000"/>
                <w:szCs w:val="21"/>
              </w:rPr>
            </w:pPr>
            <w:r>
              <w:rPr>
                <w:rFonts w:hint="eastAsia" w:ascii="仿宋" w:hAnsi="仿宋" w:eastAsia="仿宋"/>
                <w:bCs/>
                <w:color w:val="000000"/>
                <w:szCs w:val="21"/>
              </w:rPr>
              <w:t>（酒店）</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szCs w:val="21"/>
              </w:rPr>
            </w:pPr>
            <w:r>
              <w:rPr>
                <w:rFonts w:hint="eastAsia" w:ascii="仿宋" w:hAnsi="仿宋" w:eastAsia="仿宋"/>
                <w:szCs w:val="21"/>
              </w:rPr>
              <w:t>1303</w:t>
            </w:r>
          </w:p>
        </w:tc>
        <w:tc>
          <w:tcPr>
            <w:tcW w:w="948" w:type="dxa"/>
            <w:vAlign w:val="center"/>
          </w:tcPr>
          <w:p>
            <w:pPr>
              <w:jc w:val="center"/>
              <w:rPr>
                <w:rFonts w:ascii="仿宋" w:hAnsi="仿宋" w:eastAsia="仿宋"/>
                <w:szCs w:val="21"/>
              </w:rPr>
            </w:pPr>
            <w:r>
              <w:rPr>
                <w:rFonts w:hint="eastAsia" w:ascii="仿宋" w:hAnsi="仿宋" w:eastAsia="仿宋"/>
                <w:szCs w:val="21"/>
              </w:rPr>
              <w:t>6971</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szCs w:val="21"/>
              </w:rPr>
            </w:pPr>
            <w:r>
              <w:rPr>
                <w:rFonts w:hint="eastAsia" w:ascii="仿宋" w:hAnsi="仿宋" w:eastAsia="仿宋"/>
                <w:szCs w:val="21"/>
              </w:rPr>
              <w:t>1229</w:t>
            </w:r>
          </w:p>
        </w:tc>
        <w:tc>
          <w:tcPr>
            <w:tcW w:w="960" w:type="dxa"/>
            <w:vAlign w:val="center"/>
          </w:tcPr>
          <w:p>
            <w:pPr>
              <w:jc w:val="center"/>
              <w:rPr>
                <w:rFonts w:ascii="仿宋" w:hAnsi="仿宋" w:eastAsia="仿宋"/>
                <w:szCs w:val="21"/>
              </w:rPr>
            </w:pPr>
            <w:r>
              <w:rPr>
                <w:rFonts w:hint="eastAsia" w:ascii="仿宋" w:hAnsi="仿宋" w:eastAsia="仿宋"/>
                <w:szCs w:val="21"/>
              </w:rPr>
              <w:t>6575</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1266</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6773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1266</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6773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2</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441624S050000201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国际商贸城</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szCs w:val="21"/>
              </w:rPr>
            </w:pPr>
            <w:r>
              <w:rPr>
                <w:rFonts w:hint="eastAsia" w:ascii="仿宋" w:hAnsi="仿宋" w:eastAsia="仿宋"/>
                <w:szCs w:val="21"/>
              </w:rPr>
              <w:t>1106</w:t>
            </w:r>
          </w:p>
        </w:tc>
        <w:tc>
          <w:tcPr>
            <w:tcW w:w="948" w:type="dxa"/>
            <w:vAlign w:val="center"/>
          </w:tcPr>
          <w:p>
            <w:pPr>
              <w:jc w:val="center"/>
              <w:rPr>
                <w:rFonts w:ascii="仿宋" w:hAnsi="仿宋" w:eastAsia="仿宋"/>
                <w:szCs w:val="21"/>
              </w:rPr>
            </w:pPr>
            <w:r>
              <w:rPr>
                <w:rFonts w:hint="eastAsia" w:ascii="仿宋" w:hAnsi="仿宋" w:eastAsia="仿宋"/>
                <w:szCs w:val="21"/>
              </w:rPr>
              <w:t>1659</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szCs w:val="21"/>
              </w:rPr>
            </w:pPr>
            <w:r>
              <w:rPr>
                <w:rFonts w:hint="eastAsia" w:ascii="仿宋" w:hAnsi="仿宋" w:eastAsia="仿宋"/>
                <w:szCs w:val="21"/>
              </w:rPr>
              <w:t>1052</w:t>
            </w:r>
          </w:p>
        </w:tc>
        <w:tc>
          <w:tcPr>
            <w:tcW w:w="960" w:type="dxa"/>
            <w:vAlign w:val="center"/>
          </w:tcPr>
          <w:p>
            <w:pPr>
              <w:jc w:val="center"/>
              <w:rPr>
                <w:rFonts w:ascii="仿宋" w:hAnsi="仿宋" w:eastAsia="仿宋"/>
                <w:szCs w:val="21"/>
              </w:rPr>
            </w:pPr>
            <w:r>
              <w:rPr>
                <w:rFonts w:hint="eastAsia" w:ascii="仿宋" w:hAnsi="仿宋" w:eastAsia="仿宋"/>
                <w:szCs w:val="21"/>
              </w:rPr>
              <w:t>1578</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1079</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1619</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1079</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1619</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3</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441624H070100101</w:t>
            </w:r>
          </w:p>
        </w:tc>
        <w:tc>
          <w:tcPr>
            <w:tcW w:w="1505" w:type="dxa"/>
            <w:vAlign w:val="center"/>
          </w:tcPr>
          <w:p>
            <w:pPr>
              <w:jc w:val="center"/>
              <w:rPr>
                <w:rFonts w:ascii="仿宋" w:hAnsi="仿宋" w:eastAsia="仿宋"/>
                <w:bCs/>
                <w:color w:val="000000"/>
                <w:szCs w:val="21"/>
              </w:rPr>
            </w:pPr>
            <w:r>
              <w:rPr>
                <w:rFonts w:hint="eastAsia" w:ascii="仿宋" w:hAnsi="仿宋" w:eastAsia="仿宋"/>
                <w:bCs/>
                <w:color w:val="000000"/>
                <w:szCs w:val="21"/>
              </w:rPr>
              <w:t>世纪广场</w:t>
            </w:r>
          </w:p>
          <w:p>
            <w:pPr>
              <w:jc w:val="center"/>
              <w:rPr>
                <w:rFonts w:ascii="仿宋" w:hAnsi="仿宋" w:eastAsia="仿宋" w:cs="宋体"/>
                <w:bCs/>
                <w:color w:val="000000"/>
                <w:szCs w:val="21"/>
              </w:rPr>
            </w:pPr>
            <w:r>
              <w:rPr>
                <w:rFonts w:hint="eastAsia" w:ascii="仿宋" w:hAnsi="仿宋" w:eastAsia="仿宋"/>
                <w:bCs/>
                <w:color w:val="000000"/>
                <w:szCs w:val="21"/>
              </w:rPr>
              <w:t>（住宅）</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982</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18025</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943</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17309</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963</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17667</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963</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17667</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4</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441624H070100201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百盛广场</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1108</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5002</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1064</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4803</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1086</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4903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1086</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4903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5</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441624H070100301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宝信豪庭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973</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4836</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903</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4489</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938</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4663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938</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4663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6</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441624H070100401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华城花园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989</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5627</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860</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4893</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925</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5260</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925</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5260</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7</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441624H070100501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东方国际</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892</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3401</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893</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3405</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893</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3403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893</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3403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8</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441624H070100601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亿和城市广场</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879</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5829</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864</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5729</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872</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5779</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872</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5779</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9</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441624H070100701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东江雅苑</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878</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4943</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850</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4786</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864</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4865</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864</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4865</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10</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441624H070100801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新城花园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867</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3103</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875</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3041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871</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3072</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871</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3072</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11</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441624H070100901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学府花园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854</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3857</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837</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3781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846</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3819</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846</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3819</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12</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441624H070101001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兴隆湾花园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931</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2195</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853</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2011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892</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2103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892</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2103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13</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441624H070101101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万和城</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970</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3934</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870</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3528</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920</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3731</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920</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3731</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14</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441624H070101201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和平华府</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854</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3247</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928</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3529</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891</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3388</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891</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3388</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15</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441624H070101301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和平碧桂园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982</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2450</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994</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2480</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988</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2465</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988</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2465</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16</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441624H070101401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御龙居</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806</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4154</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821</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4231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814</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4193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814</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4193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17</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441624H070101501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南方家园</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666</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2435</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701</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2563</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684</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2499</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684</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2499</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18</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441624H070101601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翠景湾</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788</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2994</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824</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3131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806</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3063</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806</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3063</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19</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441624H070100101</w:t>
            </w:r>
          </w:p>
        </w:tc>
        <w:tc>
          <w:tcPr>
            <w:tcW w:w="15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润良居</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cs="宋体"/>
                <w:color w:val="000000"/>
                <w:szCs w:val="21"/>
              </w:rPr>
            </w:pPr>
            <w:r>
              <w:rPr>
                <w:rFonts w:hint="eastAsia" w:ascii="仿宋" w:hAnsi="仿宋" w:eastAsia="仿宋"/>
                <w:color w:val="000000"/>
                <w:szCs w:val="21"/>
              </w:rPr>
              <w:t>674</w:t>
            </w:r>
          </w:p>
        </w:tc>
        <w:tc>
          <w:tcPr>
            <w:tcW w:w="948" w:type="dxa"/>
            <w:vAlign w:val="center"/>
          </w:tcPr>
          <w:p>
            <w:pPr>
              <w:jc w:val="center"/>
              <w:rPr>
                <w:rFonts w:ascii="仿宋" w:hAnsi="仿宋" w:eastAsia="仿宋" w:cs="宋体"/>
                <w:color w:val="000000"/>
                <w:szCs w:val="21"/>
              </w:rPr>
            </w:pPr>
            <w:r>
              <w:rPr>
                <w:rFonts w:hint="eastAsia" w:ascii="仿宋" w:hAnsi="仿宋" w:eastAsia="仿宋"/>
                <w:color w:val="000000"/>
                <w:szCs w:val="21"/>
              </w:rPr>
              <w:t>7388</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cs="宋体"/>
                <w:color w:val="000000"/>
                <w:szCs w:val="21"/>
              </w:rPr>
            </w:pPr>
            <w:r>
              <w:rPr>
                <w:rFonts w:hint="eastAsia" w:ascii="仿宋" w:hAnsi="仿宋" w:eastAsia="仿宋"/>
                <w:color w:val="000000"/>
                <w:szCs w:val="21"/>
              </w:rPr>
              <w:t>644</w:t>
            </w:r>
          </w:p>
        </w:tc>
        <w:tc>
          <w:tcPr>
            <w:tcW w:w="960" w:type="dxa"/>
            <w:vAlign w:val="center"/>
          </w:tcPr>
          <w:p>
            <w:pPr>
              <w:jc w:val="center"/>
              <w:rPr>
                <w:rFonts w:ascii="仿宋" w:hAnsi="仿宋" w:eastAsia="仿宋" w:cs="宋体"/>
                <w:color w:val="000000"/>
                <w:szCs w:val="21"/>
              </w:rPr>
            </w:pPr>
            <w:r>
              <w:rPr>
                <w:rFonts w:hint="eastAsia" w:ascii="仿宋" w:hAnsi="仿宋" w:eastAsia="仿宋"/>
                <w:color w:val="000000"/>
                <w:szCs w:val="21"/>
              </w:rPr>
              <w:t>7091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659</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7240</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659</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7240</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jc w:val="center"/>
              <w:rPr>
                <w:rFonts w:ascii="仿宋" w:hAnsi="仿宋" w:eastAsia="仿宋"/>
                <w:szCs w:val="21"/>
              </w:rPr>
            </w:pPr>
            <w:r>
              <w:rPr>
                <w:rFonts w:hint="eastAsia" w:ascii="仿宋" w:hAnsi="仿宋" w:eastAsia="仿宋"/>
                <w:szCs w:val="21"/>
              </w:rPr>
              <w:t>20</w:t>
            </w:r>
          </w:p>
        </w:tc>
        <w:tc>
          <w:tcPr>
            <w:tcW w:w="1897"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441624G060100101</w:t>
            </w:r>
          </w:p>
        </w:tc>
        <w:tc>
          <w:tcPr>
            <w:tcW w:w="1505" w:type="dxa"/>
            <w:vAlign w:val="center"/>
          </w:tcPr>
          <w:p>
            <w:pPr>
              <w:jc w:val="center"/>
              <w:rPr>
                <w:rFonts w:ascii="仿宋" w:hAnsi="仿宋" w:eastAsia="仿宋"/>
                <w:bCs/>
                <w:color w:val="000000"/>
                <w:szCs w:val="21"/>
              </w:rPr>
            </w:pPr>
            <w:r>
              <w:rPr>
                <w:rFonts w:hint="eastAsia" w:ascii="仿宋" w:hAnsi="仿宋" w:eastAsia="仿宋"/>
                <w:bCs/>
                <w:color w:val="000000"/>
                <w:szCs w:val="21"/>
              </w:rPr>
              <w:t>和平县冠华精密模具有限</w:t>
            </w:r>
          </w:p>
          <w:p>
            <w:pPr>
              <w:jc w:val="center"/>
              <w:rPr>
                <w:rFonts w:ascii="仿宋" w:hAnsi="仿宋" w:eastAsia="仿宋"/>
                <w:bCs/>
                <w:color w:val="000000"/>
                <w:szCs w:val="21"/>
              </w:rPr>
            </w:pPr>
            <w:r>
              <w:rPr>
                <w:rFonts w:hint="eastAsia" w:ascii="仿宋" w:hAnsi="仿宋" w:eastAsia="仿宋"/>
                <w:bCs/>
                <w:color w:val="000000"/>
                <w:szCs w:val="21"/>
              </w:rPr>
              <w:t>公司</w:t>
            </w:r>
          </w:p>
        </w:tc>
        <w:tc>
          <w:tcPr>
            <w:tcW w:w="1277" w:type="dxa"/>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vAlign w:val="center"/>
          </w:tcPr>
          <w:p>
            <w:pPr>
              <w:jc w:val="center"/>
              <w:rPr>
                <w:rFonts w:ascii="仿宋" w:hAnsi="仿宋" w:eastAsia="仿宋"/>
                <w:szCs w:val="21"/>
              </w:rPr>
            </w:pPr>
            <w:r>
              <w:rPr>
                <w:rFonts w:hint="eastAsia" w:ascii="仿宋" w:hAnsi="仿宋" w:eastAsia="仿宋"/>
                <w:szCs w:val="21"/>
              </w:rPr>
              <w:t>——</w:t>
            </w:r>
          </w:p>
        </w:tc>
        <w:tc>
          <w:tcPr>
            <w:tcW w:w="948" w:type="dxa"/>
            <w:vAlign w:val="center"/>
          </w:tcPr>
          <w:p>
            <w:pPr>
              <w:jc w:val="center"/>
              <w:rPr>
                <w:rFonts w:ascii="仿宋" w:hAnsi="仿宋" w:eastAsia="仿宋"/>
                <w:szCs w:val="21"/>
              </w:rPr>
            </w:pPr>
            <w:r>
              <w:rPr>
                <w:rFonts w:hint="eastAsia" w:ascii="仿宋" w:hAnsi="仿宋" w:eastAsia="仿宋"/>
                <w:szCs w:val="21"/>
              </w:rPr>
              <w:t>172</w:t>
            </w:r>
          </w:p>
        </w:tc>
        <w:tc>
          <w:tcPr>
            <w:tcW w:w="1268" w:type="dxa"/>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vAlign w:val="center"/>
          </w:tcPr>
          <w:p>
            <w:pPr>
              <w:jc w:val="center"/>
              <w:rPr>
                <w:rFonts w:ascii="仿宋" w:hAnsi="仿宋" w:eastAsia="仿宋"/>
                <w:szCs w:val="21"/>
              </w:rPr>
            </w:pPr>
            <w:r>
              <w:rPr>
                <w:rFonts w:hint="eastAsia" w:ascii="仿宋" w:hAnsi="仿宋" w:eastAsia="仿宋"/>
                <w:szCs w:val="21"/>
              </w:rPr>
              <w:t>——</w:t>
            </w:r>
          </w:p>
        </w:tc>
        <w:tc>
          <w:tcPr>
            <w:tcW w:w="960" w:type="dxa"/>
            <w:vAlign w:val="center"/>
          </w:tcPr>
          <w:p>
            <w:pPr>
              <w:jc w:val="center"/>
              <w:rPr>
                <w:rFonts w:ascii="仿宋" w:hAnsi="仿宋" w:eastAsia="仿宋"/>
                <w:szCs w:val="21"/>
              </w:rPr>
            </w:pPr>
            <w:r>
              <w:rPr>
                <w:rFonts w:hint="eastAsia" w:ascii="仿宋" w:hAnsi="仿宋" w:eastAsia="仿宋"/>
                <w:szCs w:val="21"/>
              </w:rPr>
              <w:t>171</w:t>
            </w:r>
          </w:p>
        </w:tc>
        <w:tc>
          <w:tcPr>
            <w:tcW w:w="905"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w:t>
            </w:r>
          </w:p>
        </w:tc>
        <w:tc>
          <w:tcPr>
            <w:tcW w:w="74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172</w:t>
            </w:r>
          </w:p>
        </w:tc>
        <w:tc>
          <w:tcPr>
            <w:tcW w:w="763"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w:t>
            </w:r>
          </w:p>
        </w:tc>
        <w:tc>
          <w:tcPr>
            <w:tcW w:w="848" w:type="dxa"/>
            <w:vAlign w:val="center"/>
          </w:tcPr>
          <w:p>
            <w:pPr>
              <w:jc w:val="center"/>
              <w:rPr>
                <w:rFonts w:ascii="仿宋" w:hAnsi="仿宋" w:eastAsia="仿宋" w:cs="宋体"/>
                <w:bCs/>
                <w:color w:val="000000"/>
                <w:szCs w:val="21"/>
              </w:rPr>
            </w:pPr>
            <w:r>
              <w:rPr>
                <w:rFonts w:hint="eastAsia" w:ascii="仿宋" w:hAnsi="仿宋" w:eastAsia="仿宋"/>
                <w:bCs/>
                <w:color w:val="000000"/>
                <w:szCs w:val="21"/>
              </w:rPr>
              <w:t>172</w:t>
            </w:r>
          </w:p>
        </w:tc>
        <w:tc>
          <w:tcPr>
            <w:tcW w:w="708" w:type="dxa"/>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21</w:t>
            </w:r>
          </w:p>
        </w:tc>
        <w:tc>
          <w:tcPr>
            <w:tcW w:w="1897"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441624L080500101</w:t>
            </w:r>
          </w:p>
        </w:tc>
        <w:tc>
          <w:tcPr>
            <w:tcW w:w="1505"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和康医院</w:t>
            </w:r>
          </w:p>
        </w:tc>
        <w:tc>
          <w:tcPr>
            <w:tcW w:w="1277" w:type="dxa"/>
            <w:tcBorders>
              <w:bottom w:val="single" w:color="auto" w:sz="4" w:space="0"/>
            </w:tcBorders>
            <w:vAlign w:val="center"/>
          </w:tcPr>
          <w:p>
            <w:pPr>
              <w:jc w:val="center"/>
              <w:rPr>
                <w:rFonts w:ascii="仿宋" w:hAnsi="仿宋" w:eastAsia="仿宋"/>
                <w:szCs w:val="21"/>
              </w:rPr>
            </w:pPr>
            <w:r>
              <w:rPr>
                <w:rFonts w:hint="eastAsia" w:ascii="仿宋" w:hAnsi="仿宋" w:eastAsia="仿宋" w:cs="宋体-18030"/>
                <w:szCs w:val="21"/>
              </w:rPr>
              <w:t>2011440013</w:t>
            </w:r>
          </w:p>
        </w:tc>
        <w:tc>
          <w:tcPr>
            <w:tcW w:w="851" w:type="dxa"/>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407</w:t>
            </w:r>
          </w:p>
        </w:tc>
        <w:tc>
          <w:tcPr>
            <w:tcW w:w="948" w:type="dxa"/>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326</w:t>
            </w:r>
          </w:p>
        </w:tc>
        <w:tc>
          <w:tcPr>
            <w:tcW w:w="1268" w:type="dxa"/>
            <w:tcBorders>
              <w:bottom w:val="single" w:color="auto" w:sz="4" w:space="0"/>
            </w:tcBorders>
            <w:vAlign w:val="center"/>
          </w:tcPr>
          <w:p>
            <w:pPr>
              <w:jc w:val="center"/>
              <w:rPr>
                <w:rFonts w:ascii="仿宋" w:hAnsi="仿宋" w:eastAsia="仿宋"/>
                <w:szCs w:val="21"/>
              </w:rPr>
            </w:pPr>
            <w:r>
              <w:rPr>
                <w:rFonts w:hint="eastAsia" w:ascii="仿宋" w:hAnsi="仿宋" w:eastAsia="仿宋" w:cs="宋体-18030"/>
                <w:szCs w:val="21"/>
              </w:rPr>
              <w:t>2019440075</w:t>
            </w:r>
          </w:p>
        </w:tc>
        <w:tc>
          <w:tcPr>
            <w:tcW w:w="934" w:type="dxa"/>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404</w:t>
            </w:r>
          </w:p>
        </w:tc>
        <w:tc>
          <w:tcPr>
            <w:tcW w:w="960" w:type="dxa"/>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323</w:t>
            </w:r>
          </w:p>
        </w:tc>
        <w:tc>
          <w:tcPr>
            <w:tcW w:w="905"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405</w:t>
            </w:r>
          </w:p>
        </w:tc>
        <w:tc>
          <w:tcPr>
            <w:tcW w:w="743"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324</w:t>
            </w:r>
          </w:p>
        </w:tc>
        <w:tc>
          <w:tcPr>
            <w:tcW w:w="763"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405</w:t>
            </w:r>
          </w:p>
        </w:tc>
        <w:tc>
          <w:tcPr>
            <w:tcW w:w="848" w:type="dxa"/>
            <w:tcBorders>
              <w:bottom w:val="single" w:color="auto" w:sz="4" w:space="0"/>
            </w:tcBorders>
            <w:vAlign w:val="center"/>
          </w:tcPr>
          <w:p>
            <w:pPr>
              <w:jc w:val="center"/>
              <w:rPr>
                <w:rFonts w:ascii="仿宋" w:hAnsi="仿宋" w:eastAsia="仿宋" w:cs="宋体"/>
                <w:bCs/>
                <w:color w:val="000000"/>
                <w:szCs w:val="21"/>
              </w:rPr>
            </w:pPr>
            <w:r>
              <w:rPr>
                <w:rFonts w:hint="eastAsia" w:ascii="仿宋" w:hAnsi="仿宋" w:eastAsia="仿宋"/>
                <w:bCs/>
                <w:color w:val="000000"/>
                <w:szCs w:val="21"/>
              </w:rPr>
              <w:t>324</w:t>
            </w:r>
          </w:p>
        </w:tc>
        <w:tc>
          <w:tcPr>
            <w:tcW w:w="708" w:type="dxa"/>
            <w:tcBorders>
              <w:bottom w:val="single" w:color="auto" w:sz="4" w:space="0"/>
            </w:tcBorders>
            <w:vAlign w:val="center"/>
          </w:tcPr>
          <w:p>
            <w:pPr>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2" w:type="dxa"/>
            <w:gridSpan w:val="14"/>
            <w:tcBorders>
              <w:bottom w:val="single" w:color="auto" w:sz="4" w:space="0"/>
            </w:tcBorders>
            <w:vAlign w:val="center"/>
          </w:tcPr>
          <w:p>
            <w:pPr>
              <w:jc w:val="center"/>
              <w:rPr>
                <w:rFonts w:ascii="仿宋" w:hAnsi="仿宋" w:eastAsia="仿宋"/>
                <w:szCs w:val="21"/>
              </w:rPr>
            </w:pPr>
            <w:r>
              <w:rPr>
                <w:rFonts w:hint="eastAsia" w:ascii="仿宋" w:hAnsi="仿宋" w:eastAsia="仿宋"/>
                <w:szCs w:val="21"/>
              </w:rPr>
              <w:t>填表说明1：此表用于技术承担单位汇总评估师上报的标准宗地价格，提出建议价格；国土资源管理部门确定并填写审定价格。</w:t>
            </w:r>
          </w:p>
          <w:p>
            <w:pPr>
              <w:ind w:firstLine="1155" w:firstLineChars="550"/>
              <w:rPr>
                <w:rFonts w:ascii="仿宋" w:hAnsi="仿宋" w:eastAsia="仿宋"/>
                <w:szCs w:val="21"/>
              </w:rPr>
            </w:pPr>
            <w:r>
              <w:rPr>
                <w:rFonts w:hint="eastAsia" w:ascii="仿宋" w:hAnsi="仿宋" w:eastAsia="仿宋"/>
                <w:szCs w:val="21"/>
              </w:rPr>
              <w:t>填表说明2：表中地价单位为元/平方米。</w:t>
            </w:r>
          </w:p>
        </w:tc>
      </w:tr>
    </w:tbl>
    <w:p>
      <w:pPr>
        <w:widowControl/>
        <w:adjustRightInd w:val="0"/>
        <w:snapToGrid w:val="0"/>
        <w:spacing w:line="360" w:lineRule="auto"/>
        <w:jc w:val="left"/>
        <w:outlineLvl w:val="0"/>
        <w:rPr>
          <w:rFonts w:ascii="Times New Roman" w:hAnsi="Times New Roman" w:eastAsia="仿宋_GB2312" w:cs="Times New Roman"/>
          <w:b/>
          <w:kern w:val="0"/>
          <w:sz w:val="30"/>
          <w:szCs w:val="30"/>
        </w:rPr>
        <w:sectPr>
          <w:pgSz w:w="16838" w:h="11906" w:orient="landscape"/>
          <w:pgMar w:top="1797" w:right="1440" w:bottom="1797" w:left="1440" w:header="851" w:footer="992" w:gutter="0"/>
          <w:cols w:space="425" w:num="1"/>
          <w:docGrid w:type="lines" w:linePitch="312" w:charSpace="0"/>
        </w:sect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15" w:name="_Toc61275843"/>
      <w:r>
        <w:rPr>
          <w:rFonts w:ascii="Times New Roman" w:hAnsi="Times New Roman" w:eastAsia="仿宋_GB2312" w:cs="Times New Roman"/>
          <w:b/>
          <w:kern w:val="0"/>
          <w:sz w:val="30"/>
          <w:szCs w:val="30"/>
        </w:rPr>
        <w:t>附件2标定地价标准</w:t>
      </w:r>
      <w:r>
        <w:rPr>
          <w:rFonts w:hint="eastAsia" w:ascii="Times New Roman" w:hAnsi="Times New Roman" w:eastAsia="仿宋_GB2312" w:cs="Times New Roman"/>
          <w:b/>
          <w:kern w:val="0"/>
          <w:sz w:val="30"/>
          <w:szCs w:val="30"/>
        </w:rPr>
        <w:t>区域</w:t>
      </w:r>
      <w:r>
        <w:rPr>
          <w:rFonts w:ascii="Times New Roman" w:hAnsi="Times New Roman" w:eastAsia="仿宋_GB2312" w:cs="Times New Roman"/>
          <w:b/>
          <w:kern w:val="0"/>
          <w:sz w:val="30"/>
          <w:szCs w:val="30"/>
        </w:rPr>
        <w:t>布设图</w:t>
      </w:r>
      <w:bookmarkEnd w:id="215"/>
    </w:p>
    <w:p>
      <w:pPr>
        <w:rPr>
          <w:rFonts w:eastAsia="仿宋_GB2312"/>
          <w:b/>
          <w:kern w:val="0"/>
          <w:sz w:val="30"/>
          <w:szCs w:val="30"/>
        </w:rPr>
      </w:pPr>
      <w:r>
        <w:drawing>
          <wp:inline distT="0" distB="0" distL="0" distR="0">
            <wp:extent cx="5494655" cy="7548880"/>
            <wp:effectExtent l="0" t="0" r="0" b="0"/>
            <wp:docPr id="1" name="图片 22" descr="C:\Users\ADMINI~1\AppData\Local\Temp\WeChat Files\178d5d5201d491db8755c8e4a94a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C:\Users\ADMINI~1\AppData\Local\Temp\WeChat Files\178d5d5201d491db8755c8e4a94a8ed.jpg"/>
                    <pic:cNvPicPr>
                      <a:picLocks noChangeAspect="1" noChangeArrowheads="1"/>
                    </pic:cNvPicPr>
                  </pic:nvPicPr>
                  <pic:blipFill>
                    <a:blip r:embed="rId7" cstate="print"/>
                    <a:srcRect l="2750" t="3786" r="2173" b="3806"/>
                    <a:stretch>
                      <a:fillRect/>
                    </a:stretch>
                  </pic:blipFill>
                  <pic:spPr>
                    <a:xfrm>
                      <a:off x="0" y="0"/>
                      <a:ext cx="5504069" cy="7562008"/>
                    </a:xfrm>
                    <a:prstGeom prst="rect">
                      <a:avLst/>
                    </a:prstGeom>
                    <a:noFill/>
                    <a:ln>
                      <a:noFill/>
                    </a:ln>
                  </pic:spPr>
                </pic:pic>
              </a:graphicData>
            </a:graphic>
          </wp:inline>
        </w:drawing>
      </w:r>
    </w:p>
    <w:p>
      <w:pPr>
        <w:rPr>
          <w:rFonts w:ascii="Times New Roman" w:hAnsi="Times New Roman" w:eastAsia="仿宋_GB2312" w:cs="Times New Roman"/>
          <w:b/>
          <w:kern w:val="0"/>
          <w:sz w:val="30"/>
          <w:szCs w:val="30"/>
        </w:rPr>
      </w:pPr>
    </w:p>
    <w:p>
      <w:pPr>
        <w:rPr>
          <w:rFonts w:ascii="Times New Roman" w:hAnsi="Times New Roman" w:eastAsia="仿宋_GB2312" w:cs="Times New Roman"/>
          <w:b/>
          <w:kern w:val="0"/>
          <w:sz w:val="30"/>
          <w:szCs w:val="30"/>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16" w:name="_Toc61275844"/>
      <w:r>
        <w:rPr>
          <w:rFonts w:ascii="Times New Roman" w:hAnsi="Times New Roman" w:eastAsia="仿宋_GB2312" w:cs="Times New Roman"/>
          <w:b/>
          <w:kern w:val="0"/>
          <w:sz w:val="30"/>
          <w:szCs w:val="30"/>
        </w:rPr>
        <w:t>附件</w:t>
      </w:r>
      <w:r>
        <w:rPr>
          <w:rFonts w:hint="eastAsia" w:ascii="Times New Roman" w:hAnsi="Times New Roman" w:eastAsia="仿宋_GB2312" w:cs="Times New Roman"/>
          <w:b/>
          <w:kern w:val="0"/>
          <w:sz w:val="30"/>
          <w:szCs w:val="30"/>
        </w:rPr>
        <w:t>3</w:t>
      </w:r>
      <w:r>
        <w:rPr>
          <w:rFonts w:ascii="Times New Roman" w:hAnsi="Times New Roman" w:eastAsia="仿宋_GB2312" w:cs="Times New Roman"/>
          <w:b/>
          <w:kern w:val="0"/>
          <w:sz w:val="30"/>
          <w:szCs w:val="30"/>
        </w:rPr>
        <w:t>标定地价标准宗地布设图</w:t>
      </w:r>
      <w:bookmarkEnd w:id="216"/>
    </w:p>
    <w:p>
      <w:pPr>
        <w:rPr>
          <w:rFonts w:ascii="Times New Roman" w:hAnsi="Times New Roman" w:eastAsia="仿宋_GB2312" w:cs="Times New Roman"/>
          <w:b/>
          <w:kern w:val="0"/>
          <w:sz w:val="30"/>
          <w:szCs w:val="30"/>
        </w:rPr>
      </w:pPr>
      <w:r>
        <w:rPr>
          <w:rFonts w:ascii="Times New Roman" w:hAnsi="Times New Roman" w:eastAsia="仿宋_GB2312" w:cs="Times New Roman"/>
          <w:b/>
          <w:kern w:val="0"/>
          <w:sz w:val="30"/>
          <w:szCs w:val="30"/>
        </w:rPr>
        <w:drawing>
          <wp:inline distT="0" distB="0" distL="0" distR="0">
            <wp:extent cx="5272405" cy="5895975"/>
            <wp:effectExtent l="0" t="0" r="4445" b="0"/>
            <wp:docPr id="6" name="图片 6" descr="C:\Users\Administrator\Desktop\和平县标定地价征求意见资料\和平县标定地价征求意见资料\和平县2020年城镇国有建设用地标定地价标准宗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和平县标定地价征求意见资料\和平县标定地价征求意见资料\和平县2020年城镇国有建设用地标定地价标准宗地分布图.jpg"/>
                    <pic:cNvPicPr>
                      <a:picLocks noChangeAspect="1" noChangeArrowheads="1"/>
                    </pic:cNvPicPr>
                  </pic:nvPicPr>
                  <pic:blipFill>
                    <a:blip r:embed="rId9" cstate="print">
                      <a:extLst>
                        <a:ext uri="{28A0092B-C50C-407E-A947-70E740481C1C}">
                          <a14:useLocalDpi xmlns:a14="http://schemas.microsoft.com/office/drawing/2010/main" val="0"/>
                        </a:ext>
                      </a:extLst>
                    </a:blip>
                    <a:srcRect l="4331" t="2243" r="4163" b="-10"/>
                    <a:stretch>
                      <a:fillRect/>
                    </a:stretch>
                  </pic:blipFill>
                  <pic:spPr>
                    <a:xfrm>
                      <a:off x="0" y="0"/>
                      <a:ext cx="5274862" cy="5898413"/>
                    </a:xfrm>
                    <a:prstGeom prst="rect">
                      <a:avLst/>
                    </a:prstGeom>
                    <a:noFill/>
                    <a:ln>
                      <a:noFill/>
                    </a:ln>
                  </pic:spPr>
                </pic:pic>
              </a:graphicData>
            </a:graphic>
          </wp:inline>
        </w:drawing>
      </w: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rPr>
          <w:rFonts w:ascii="Times New Roman" w:hAnsi="Times New Roman" w:eastAsia="仿宋_GB2312" w:cs="Times New Roman"/>
          <w:b/>
          <w:kern w:val="0"/>
          <w:sz w:val="30"/>
          <w:szCs w:val="30"/>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bookmarkStart w:id="217" w:name="_Toc61275845"/>
      <w:r>
        <w:rPr>
          <w:rFonts w:ascii="Times New Roman" w:hAnsi="Times New Roman" w:eastAsia="仿宋_GB2312" w:cs="Times New Roman"/>
          <w:b/>
          <w:kern w:val="0"/>
          <w:sz w:val="30"/>
          <w:szCs w:val="30"/>
        </w:rPr>
        <w:t>附件</w:t>
      </w:r>
      <w:r>
        <w:rPr>
          <w:rFonts w:hint="eastAsia" w:ascii="Times New Roman" w:hAnsi="Times New Roman" w:eastAsia="仿宋_GB2312" w:cs="Times New Roman"/>
          <w:b/>
          <w:kern w:val="0"/>
          <w:sz w:val="30"/>
          <w:szCs w:val="30"/>
        </w:rPr>
        <w:t>4和平县2020年城镇国有建设用地标定地价图</w:t>
      </w:r>
      <w:bookmarkEnd w:id="217"/>
    </w:p>
    <w:p>
      <w:pPr>
        <w:jc w:val="center"/>
      </w:pPr>
      <w:r>
        <w:drawing>
          <wp:inline distT="0" distB="0" distL="0" distR="0">
            <wp:extent cx="5405755" cy="6106160"/>
            <wp:effectExtent l="0" t="0" r="4445" b="8890"/>
            <wp:docPr id="3" name="图片 3" descr="C:\Users\ADMINI~1\AppData\Local\Temp\WeChat Files\51a2442ac668b27509effcfa0341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51a2442ac668b27509effcfa03417b6.jpg"/>
                    <pic:cNvPicPr>
                      <a:picLocks noChangeAspect="1" noChangeArrowheads="1"/>
                    </pic:cNvPicPr>
                  </pic:nvPicPr>
                  <pic:blipFill>
                    <a:blip r:embed="rId10" cstate="print">
                      <a:extLst>
                        <a:ext uri="{28A0092B-C50C-407E-A947-70E740481C1C}">
                          <a14:useLocalDpi xmlns:a14="http://schemas.microsoft.com/office/drawing/2010/main" val="0"/>
                        </a:ext>
                      </a:extLst>
                    </a:blip>
                    <a:srcRect l="3694" r="3652"/>
                    <a:stretch>
                      <a:fillRect/>
                    </a:stretch>
                  </pic:blipFill>
                  <pic:spPr>
                    <a:xfrm>
                      <a:off x="0" y="0"/>
                      <a:ext cx="5412711" cy="6114025"/>
                    </a:xfrm>
                    <a:prstGeom prst="rect">
                      <a:avLst/>
                    </a:prstGeom>
                    <a:noFill/>
                    <a:ln>
                      <a:noFill/>
                    </a:ln>
                  </pic:spPr>
                </pic:pic>
              </a:graphicData>
            </a:graphic>
          </wp:inline>
        </w:drawing>
      </w:r>
    </w:p>
    <w:p>
      <w:pPr>
        <w:widowControl/>
        <w:adjustRightInd w:val="0"/>
        <w:snapToGrid w:val="0"/>
        <w:spacing w:line="360" w:lineRule="auto"/>
        <w:jc w:val="left"/>
        <w:outlineLvl w:val="0"/>
        <w:rPr>
          <w:rFonts w:ascii="Times New Roman" w:hAnsi="Times New Roman" w:eastAsia="仿宋_GB2312" w:cs="Times New Roman"/>
          <w:b/>
          <w:kern w:val="0"/>
          <w:sz w:val="30"/>
          <w:szCs w:val="30"/>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p>
    <w:p>
      <w:pPr>
        <w:widowControl/>
        <w:adjustRightInd w:val="0"/>
        <w:snapToGrid w:val="0"/>
        <w:spacing w:line="360" w:lineRule="auto"/>
        <w:jc w:val="left"/>
        <w:outlineLvl w:val="0"/>
        <w:rPr>
          <w:rFonts w:ascii="Times New Roman" w:hAnsi="Times New Roman" w:eastAsia="仿宋_GB2312" w:cs="Times New Roman"/>
          <w:b/>
          <w:kern w:val="0"/>
          <w:sz w:val="30"/>
          <w:szCs w:val="30"/>
        </w:rPr>
      </w:pPr>
    </w:p>
    <w:p>
      <w:pPr>
        <w:adjustRightInd w:val="0"/>
        <w:snapToGrid w:val="0"/>
        <w:spacing w:line="360" w:lineRule="auto"/>
        <w:rPr>
          <w:rFonts w:ascii="Times New Roman" w:hAnsi="Times New Roman" w:cs="Times New Roman"/>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0001E" w:usb3="00000000" w:csb0="003C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6778743"/>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C51"/>
    <w:rsid w:val="0000019A"/>
    <w:rsid w:val="00001193"/>
    <w:rsid w:val="00041057"/>
    <w:rsid w:val="00045B1C"/>
    <w:rsid w:val="00057C8D"/>
    <w:rsid w:val="00061DB5"/>
    <w:rsid w:val="000662E7"/>
    <w:rsid w:val="000768EC"/>
    <w:rsid w:val="00077D88"/>
    <w:rsid w:val="00084F46"/>
    <w:rsid w:val="00086573"/>
    <w:rsid w:val="000E2219"/>
    <w:rsid w:val="000F27EF"/>
    <w:rsid w:val="0010617E"/>
    <w:rsid w:val="00114542"/>
    <w:rsid w:val="00145FAF"/>
    <w:rsid w:val="0016280B"/>
    <w:rsid w:val="00170AA0"/>
    <w:rsid w:val="00174E34"/>
    <w:rsid w:val="00186C54"/>
    <w:rsid w:val="00193D0E"/>
    <w:rsid w:val="001A5CF4"/>
    <w:rsid w:val="001B6DD4"/>
    <w:rsid w:val="001C1F27"/>
    <w:rsid w:val="0020305E"/>
    <w:rsid w:val="00213163"/>
    <w:rsid w:val="00215DF5"/>
    <w:rsid w:val="00225BAF"/>
    <w:rsid w:val="002673A5"/>
    <w:rsid w:val="0028749C"/>
    <w:rsid w:val="002951B8"/>
    <w:rsid w:val="002D4A40"/>
    <w:rsid w:val="0031236A"/>
    <w:rsid w:val="00323109"/>
    <w:rsid w:val="00357794"/>
    <w:rsid w:val="003611DC"/>
    <w:rsid w:val="00391475"/>
    <w:rsid w:val="00397FEE"/>
    <w:rsid w:val="003A54FE"/>
    <w:rsid w:val="003C63D4"/>
    <w:rsid w:val="003D2990"/>
    <w:rsid w:val="003D2A95"/>
    <w:rsid w:val="003E5A2F"/>
    <w:rsid w:val="004077D0"/>
    <w:rsid w:val="004259B3"/>
    <w:rsid w:val="00437B44"/>
    <w:rsid w:val="00452606"/>
    <w:rsid w:val="00466B73"/>
    <w:rsid w:val="00473574"/>
    <w:rsid w:val="00481672"/>
    <w:rsid w:val="00482885"/>
    <w:rsid w:val="00486FAE"/>
    <w:rsid w:val="004927EE"/>
    <w:rsid w:val="0049368B"/>
    <w:rsid w:val="004971EE"/>
    <w:rsid w:val="004A04C0"/>
    <w:rsid w:val="004B0A7F"/>
    <w:rsid w:val="004B46AF"/>
    <w:rsid w:val="004D1335"/>
    <w:rsid w:val="004E7792"/>
    <w:rsid w:val="004F45FB"/>
    <w:rsid w:val="004F5FF0"/>
    <w:rsid w:val="00540CE4"/>
    <w:rsid w:val="00543F30"/>
    <w:rsid w:val="00582379"/>
    <w:rsid w:val="005940C1"/>
    <w:rsid w:val="005B520A"/>
    <w:rsid w:val="005C0440"/>
    <w:rsid w:val="005D627B"/>
    <w:rsid w:val="005E0567"/>
    <w:rsid w:val="005F7B80"/>
    <w:rsid w:val="00626A07"/>
    <w:rsid w:val="00630938"/>
    <w:rsid w:val="0068131B"/>
    <w:rsid w:val="006A1C51"/>
    <w:rsid w:val="006B598E"/>
    <w:rsid w:val="006D5A91"/>
    <w:rsid w:val="006E299D"/>
    <w:rsid w:val="0070377A"/>
    <w:rsid w:val="00711F6B"/>
    <w:rsid w:val="007136CC"/>
    <w:rsid w:val="00735E03"/>
    <w:rsid w:val="0076136C"/>
    <w:rsid w:val="007727F4"/>
    <w:rsid w:val="00774993"/>
    <w:rsid w:val="007875A0"/>
    <w:rsid w:val="007A0F27"/>
    <w:rsid w:val="007A2BC4"/>
    <w:rsid w:val="007C26E7"/>
    <w:rsid w:val="007F1A2A"/>
    <w:rsid w:val="007F631F"/>
    <w:rsid w:val="008105D9"/>
    <w:rsid w:val="00885E68"/>
    <w:rsid w:val="008A4B1D"/>
    <w:rsid w:val="008B09BE"/>
    <w:rsid w:val="008C14AD"/>
    <w:rsid w:val="00911D61"/>
    <w:rsid w:val="009264DD"/>
    <w:rsid w:val="00926BF6"/>
    <w:rsid w:val="00930699"/>
    <w:rsid w:val="009360DE"/>
    <w:rsid w:val="00966A62"/>
    <w:rsid w:val="009703DF"/>
    <w:rsid w:val="009A3894"/>
    <w:rsid w:val="009C6584"/>
    <w:rsid w:val="009D204A"/>
    <w:rsid w:val="00A10E3E"/>
    <w:rsid w:val="00A143C3"/>
    <w:rsid w:val="00A31017"/>
    <w:rsid w:val="00A423ED"/>
    <w:rsid w:val="00A47F9D"/>
    <w:rsid w:val="00A66C3F"/>
    <w:rsid w:val="00AB22A0"/>
    <w:rsid w:val="00AB22FF"/>
    <w:rsid w:val="00AC3F0D"/>
    <w:rsid w:val="00B23847"/>
    <w:rsid w:val="00B34B43"/>
    <w:rsid w:val="00B41E30"/>
    <w:rsid w:val="00B4458E"/>
    <w:rsid w:val="00B6341C"/>
    <w:rsid w:val="00B82856"/>
    <w:rsid w:val="00B934BF"/>
    <w:rsid w:val="00BB710A"/>
    <w:rsid w:val="00BD2C74"/>
    <w:rsid w:val="00BF6E7B"/>
    <w:rsid w:val="00C00F4C"/>
    <w:rsid w:val="00C10A00"/>
    <w:rsid w:val="00C22382"/>
    <w:rsid w:val="00C24D2C"/>
    <w:rsid w:val="00C31A3C"/>
    <w:rsid w:val="00C36F44"/>
    <w:rsid w:val="00C44149"/>
    <w:rsid w:val="00C82B15"/>
    <w:rsid w:val="00CA308D"/>
    <w:rsid w:val="00CB03E0"/>
    <w:rsid w:val="00CB685D"/>
    <w:rsid w:val="00CD2FE0"/>
    <w:rsid w:val="00CD4B29"/>
    <w:rsid w:val="00D0415D"/>
    <w:rsid w:val="00D06671"/>
    <w:rsid w:val="00D205D4"/>
    <w:rsid w:val="00D264A6"/>
    <w:rsid w:val="00D354FF"/>
    <w:rsid w:val="00D42314"/>
    <w:rsid w:val="00D47E6E"/>
    <w:rsid w:val="00D667C1"/>
    <w:rsid w:val="00D757C1"/>
    <w:rsid w:val="00D91BD0"/>
    <w:rsid w:val="00DA5841"/>
    <w:rsid w:val="00DC3157"/>
    <w:rsid w:val="00E127EB"/>
    <w:rsid w:val="00E20B04"/>
    <w:rsid w:val="00E27ECF"/>
    <w:rsid w:val="00E32F6C"/>
    <w:rsid w:val="00E4091E"/>
    <w:rsid w:val="00E71D8B"/>
    <w:rsid w:val="00E849F2"/>
    <w:rsid w:val="00EA2933"/>
    <w:rsid w:val="00EA2A0A"/>
    <w:rsid w:val="00EA6EC0"/>
    <w:rsid w:val="00EB531D"/>
    <w:rsid w:val="00EB5E74"/>
    <w:rsid w:val="00EC6DDD"/>
    <w:rsid w:val="00ED3A7D"/>
    <w:rsid w:val="00F00B77"/>
    <w:rsid w:val="00F039D5"/>
    <w:rsid w:val="00F42C8F"/>
    <w:rsid w:val="00F9616A"/>
    <w:rsid w:val="00FA6AB7"/>
    <w:rsid w:val="00FC5753"/>
    <w:rsid w:val="00FF7AF5"/>
    <w:rsid w:val="12734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9"/>
    <w:unhideWhenUsed/>
    <w:qFormat/>
    <w:uiPriority w:val="9"/>
    <w:pPr>
      <w:keepNext/>
      <w:keepLines/>
      <w:spacing w:before="260" w:after="260" w:line="416" w:lineRule="auto"/>
      <w:jc w:val="left"/>
      <w:outlineLvl w:val="2"/>
    </w:pPr>
    <w:rPr>
      <w:b/>
      <w:bCs/>
      <w:kern w:val="0"/>
      <w:sz w:val="32"/>
      <w:szCs w:val="32"/>
      <w:lang w:eastAsia="en-US"/>
    </w:rPr>
  </w:style>
  <w:style w:type="character" w:default="1" w:styleId="11">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link w:val="21"/>
    <w:qFormat/>
    <w:uiPriority w:val="1"/>
    <w:pPr>
      <w:spacing w:before="89"/>
      <w:ind w:left="138"/>
      <w:jc w:val="left"/>
    </w:pPr>
    <w:rPr>
      <w:rFonts w:ascii="宋体" w:hAnsi="宋体" w:eastAsia="宋体"/>
      <w:kern w:val="0"/>
      <w:sz w:val="28"/>
      <w:szCs w:val="28"/>
      <w:lang w:eastAsia="en-US"/>
    </w:rPr>
  </w:style>
  <w:style w:type="paragraph" w:styleId="5">
    <w:name w:val="toc 3"/>
    <w:basedOn w:val="1"/>
    <w:next w:val="1"/>
    <w:unhideWhenUsed/>
    <w:qFormat/>
    <w:uiPriority w:val="39"/>
    <w:pPr>
      <w:ind w:left="840" w:leftChars="400"/>
    </w:pPr>
  </w:style>
  <w:style w:type="paragraph" w:styleId="6">
    <w:name w:val="Balloon Text"/>
    <w:basedOn w:val="1"/>
    <w:link w:val="17"/>
    <w:semiHidden/>
    <w:unhideWhenUsed/>
    <w:uiPriority w:val="99"/>
    <w:rPr>
      <w:sz w:val="18"/>
      <w:szCs w:val="18"/>
    </w:rPr>
  </w:style>
  <w:style w:type="paragraph" w:styleId="7">
    <w:name w:val="footer"/>
    <w:basedOn w:val="1"/>
    <w:link w:val="15"/>
    <w:unhideWhenUsed/>
    <w:uiPriority w:val="99"/>
    <w:pPr>
      <w:tabs>
        <w:tab w:val="center" w:pos="4153"/>
        <w:tab w:val="right" w:pos="8306"/>
      </w:tabs>
      <w:snapToGrid w:val="0"/>
      <w:jc w:val="left"/>
    </w:pPr>
    <w:rPr>
      <w:sz w:val="18"/>
      <w:szCs w:val="18"/>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style>
  <w:style w:type="paragraph" w:styleId="10">
    <w:name w:val="toc 2"/>
    <w:basedOn w:val="1"/>
    <w:next w:val="1"/>
    <w:unhideWhenUsed/>
    <w:qFormat/>
    <w:uiPriority w:val="39"/>
    <w:pPr>
      <w:ind w:left="420" w:left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11"/>
    <w:link w:val="8"/>
    <w:uiPriority w:val="99"/>
    <w:rPr>
      <w:sz w:val="18"/>
      <w:szCs w:val="18"/>
    </w:rPr>
  </w:style>
  <w:style w:type="character" w:customStyle="1" w:styleId="15">
    <w:name w:val="页脚 Char"/>
    <w:basedOn w:val="11"/>
    <w:link w:val="7"/>
    <w:uiPriority w:val="99"/>
    <w:rPr>
      <w:sz w:val="18"/>
      <w:szCs w:val="18"/>
    </w:rPr>
  </w:style>
  <w:style w:type="paragraph" w:customStyle="1" w:styleId="16">
    <w:name w:val="备注"/>
    <w:basedOn w:val="1"/>
    <w:qFormat/>
    <w:uiPriority w:val="0"/>
    <w:pPr>
      <w:tabs>
        <w:tab w:val="left" w:pos="3906"/>
      </w:tabs>
      <w:spacing w:line="360" w:lineRule="auto"/>
      <w:jc w:val="right"/>
    </w:pPr>
    <w:rPr>
      <w:rFonts w:ascii="Times New Roman" w:hAnsi="Times New Roman" w:eastAsia="仿宋_GB2312" w:cs="Times New Roman"/>
      <w:bCs/>
      <w:kern w:val="0"/>
      <w:sz w:val="24"/>
    </w:rPr>
  </w:style>
  <w:style w:type="character" w:customStyle="1" w:styleId="17">
    <w:name w:val="批注框文本 Char"/>
    <w:basedOn w:val="11"/>
    <w:link w:val="6"/>
    <w:semiHidden/>
    <w:qFormat/>
    <w:uiPriority w:val="99"/>
    <w:rPr>
      <w:sz w:val="18"/>
      <w:szCs w:val="18"/>
    </w:rPr>
  </w:style>
  <w:style w:type="paragraph" w:styleId="18">
    <w:name w:val="List Paragraph"/>
    <w:basedOn w:val="1"/>
    <w:qFormat/>
    <w:uiPriority w:val="34"/>
    <w:pPr>
      <w:adjustRightInd w:val="0"/>
      <w:snapToGrid w:val="0"/>
      <w:spacing w:line="360" w:lineRule="auto"/>
      <w:ind w:firstLine="420" w:firstLineChars="200"/>
    </w:pPr>
    <w:rPr>
      <w:rFonts w:ascii="Times New Roman" w:hAnsi="Times New Roman" w:eastAsia="仿宋_GB2312"/>
      <w:sz w:val="24"/>
    </w:rPr>
  </w:style>
  <w:style w:type="character" w:customStyle="1" w:styleId="19">
    <w:name w:val="标题 3 Char"/>
    <w:basedOn w:val="11"/>
    <w:link w:val="3"/>
    <w:qFormat/>
    <w:uiPriority w:val="9"/>
    <w:rPr>
      <w:b/>
      <w:bCs/>
      <w:kern w:val="0"/>
      <w:sz w:val="32"/>
      <w:szCs w:val="32"/>
      <w:lang w:eastAsia="en-US"/>
    </w:rPr>
  </w:style>
  <w:style w:type="paragraph" w:customStyle="1" w:styleId="20">
    <w:name w:val="标题 11"/>
    <w:basedOn w:val="1"/>
    <w:qFormat/>
    <w:uiPriority w:val="1"/>
    <w:pPr>
      <w:ind w:left="138"/>
      <w:jc w:val="left"/>
      <w:outlineLvl w:val="1"/>
    </w:pPr>
    <w:rPr>
      <w:rFonts w:ascii="Microsoft JhengHei" w:hAnsi="Microsoft JhengHei" w:eastAsia="Microsoft JhengHei"/>
      <w:b/>
      <w:bCs/>
      <w:kern w:val="0"/>
      <w:sz w:val="32"/>
      <w:szCs w:val="32"/>
      <w:lang w:eastAsia="en-US"/>
    </w:rPr>
  </w:style>
  <w:style w:type="character" w:customStyle="1" w:styleId="21">
    <w:name w:val="正文文本 Char"/>
    <w:basedOn w:val="11"/>
    <w:link w:val="4"/>
    <w:qFormat/>
    <w:uiPriority w:val="1"/>
    <w:rPr>
      <w:rFonts w:ascii="宋体" w:hAnsi="宋体" w:eastAsia="宋体"/>
      <w:kern w:val="0"/>
      <w:sz w:val="28"/>
      <w:szCs w:val="28"/>
      <w:lang w:eastAsia="en-US"/>
    </w:rPr>
  </w:style>
  <w:style w:type="character" w:customStyle="1" w:styleId="22">
    <w:name w:val="标题 2 Char"/>
    <w:basedOn w:val="11"/>
    <w:link w:val="2"/>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7F646-8E30-4AE0-8921-58D5132B398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2309</Words>
  <Characters>13162</Characters>
  <Lines>109</Lines>
  <Paragraphs>30</Paragraphs>
  <TotalTime>1</TotalTime>
  <ScaleCrop>false</ScaleCrop>
  <LinksUpToDate>false</LinksUpToDate>
  <CharactersWithSpaces>15441</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2021-01-11T06:52:00Z</dcterms:created>
  <dc:creator>作者</dc:creator>
  <cp:lastModifiedBy>SL</cp:lastModifiedBy>
  <cp:lastPrinted>2019-06-12T01:09:00Z</cp:lastPrinted>
  <dcterms:modified xsi:type="dcterms:W3CDTF">2021-01-14T07:22:57Z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