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 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和平县2</w:t>
      </w:r>
      <w:r>
        <w:rPr>
          <w:rFonts w:ascii="黑体" w:hAnsi="黑体" w:eastAsia="黑体" w:cs="黑体"/>
          <w:sz w:val="32"/>
          <w:szCs w:val="32"/>
        </w:rPr>
        <w:t>020</w:t>
      </w:r>
      <w:r>
        <w:rPr>
          <w:rFonts w:hint="eastAsia" w:ascii="黑体" w:hAnsi="黑体" w:eastAsia="黑体" w:cs="黑体"/>
          <w:sz w:val="32"/>
          <w:szCs w:val="32"/>
        </w:rPr>
        <w:t>年集体建设用地基准地价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 w:cs="黑体"/>
          <w:sz w:val="32"/>
          <w:szCs w:val="32"/>
        </w:rPr>
        <w:t>范围及内涵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一、工作范围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次和平县集体建设用地评估的工作范围是和平县全域，包含阳明镇、大坝镇、彭寨镇、下车镇、合水镇、上陵镇、浰源镇、热水镇、林寨镇、长塘镇、礼士镇、青州镇、优胜镇、贝墩镇、古寨镇、东水镇、公白镇以及一个市属国营黎明林场，总面积2292平方公里。</w:t>
      </w:r>
    </w:p>
    <w:p>
      <w:pPr>
        <w:jc w:val="center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drawing>
          <wp:inline distT="0" distB="0" distL="114300" distR="114300">
            <wp:extent cx="5052060" cy="5760085"/>
            <wp:effectExtent l="0" t="0" r="15240" b="12065"/>
            <wp:docPr id="1" name="图片 1" descr="评价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价范围"/>
                    <pic:cNvPicPr>
                      <a:picLocks noChangeAspect="1"/>
                    </pic:cNvPicPr>
                  </pic:nvPicPr>
                  <pic:blipFill>
                    <a:blip r:embed="rId6"/>
                    <a:srcRect t="11531" r="542" b="8304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2"/>
        <w:jc w:val="center"/>
        <w:rPr>
          <w:rFonts w:ascii="仿宋" w:hAnsi="仿宋" w:eastAsia="仿宋" w:cs="Times New Roman"/>
          <w:b/>
          <w:bCs/>
          <w:szCs w:val="21"/>
        </w:rPr>
      </w:pPr>
      <w:r>
        <w:rPr>
          <w:rFonts w:hint="eastAsia" w:ascii="仿宋" w:hAnsi="仿宋" w:eastAsia="仿宋" w:cs="Times New Roman"/>
          <w:b/>
          <w:bCs/>
          <w:szCs w:val="21"/>
        </w:rPr>
        <w:t>图1-1  和平县2020年集体建设用地基准地项目工作范围图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二、地价内涵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根据集体建设用地基准地价的内涵定义，设定集体建设用地基准地价的内涵。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1、集体商服用地：在正常市场条件下的集体土地使用权的价格，设定土地开发程度为“五通一平”（即宗地红线外通路、供水、排水、通电、通讯，宗地红线内场地平整），估价期日为 2020 年 1 月 1 日，土地使用年期为 40 年，设定容积率为2.0，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地价表达形式为首层楼面地价。</w:t>
      </w:r>
      <w:r>
        <w:rPr>
          <w:rFonts w:hint="eastAsia" w:ascii="仿宋" w:hAnsi="仿宋" w:eastAsia="仿宋" w:cs="Times New Roman"/>
          <w:sz w:val="24"/>
          <w:szCs w:val="24"/>
        </w:rPr>
        <w:t>价格单位为元/平方米，币种为人民币。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2、集体住宅用地（宅基地）：在符合法律法规和有关政策要求下的集体土地使用权价格，设定土地开发程度为“五通一平”（即宗地红线外通路、供水、排水、通电、通讯，宗地红线内场地平整），估价期日为 2020年 1 月 1 日，土地使用年期为无限年期，设定容积率为 2.0，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地价表达形式为平均楼面地价。</w:t>
      </w:r>
      <w:r>
        <w:rPr>
          <w:rFonts w:hint="eastAsia" w:ascii="仿宋" w:hAnsi="仿宋" w:eastAsia="仿宋" w:cs="Times New Roman"/>
          <w:sz w:val="24"/>
          <w:szCs w:val="24"/>
        </w:rPr>
        <w:t>价格单位为元/平方米，币种为人民币。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3、集体工业用地：在正常市场条件下的集体土地使用权的价格，设定土地开发程度为“五通一平”（即宗地红线外通路、供水、排水、通电、通讯，宗地红线内场地平整），估价期日为 2020 年 1 月 1 日，土地使用年期为 50 年，设定容积率为 1.0，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地价表达形式为单位地面地价。</w:t>
      </w:r>
      <w:r>
        <w:rPr>
          <w:rFonts w:hint="eastAsia" w:ascii="仿宋" w:hAnsi="仿宋" w:eastAsia="仿宋" w:cs="Times New Roman"/>
          <w:sz w:val="24"/>
          <w:szCs w:val="24"/>
        </w:rPr>
        <w:t>价格单位为元/平方米，币种为人民币。</w:t>
      </w: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CC"/>
    <w:rsid w:val="001C1B9C"/>
    <w:rsid w:val="002D6413"/>
    <w:rsid w:val="00451BDC"/>
    <w:rsid w:val="008A6023"/>
    <w:rsid w:val="00B83DC2"/>
    <w:rsid w:val="00CD70BE"/>
    <w:rsid w:val="00CF58CC"/>
    <w:rsid w:val="00D265F1"/>
    <w:rsid w:val="00D45C6A"/>
    <w:rsid w:val="0C0211B3"/>
    <w:rsid w:val="26D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</Words>
  <Characters>602</Characters>
  <Lines>5</Lines>
  <Paragraphs>1</Paragraphs>
  <TotalTime>5</TotalTime>
  <ScaleCrop>false</ScaleCrop>
  <LinksUpToDate>false</LinksUpToDate>
  <CharactersWithSpaces>706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2020-09-04T07:39:00Z</dcterms:created>
  <dc:creator>胡兵</dc:creator>
  <cp:lastModifiedBy>SL</cp:lastModifiedBy>
  <dcterms:modified xsi:type="dcterms:W3CDTF">2020-09-24T08:45:37Z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