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b/>
          <w:sz w:val="22"/>
          <w:szCs w:val="28"/>
        </w:rPr>
      </w:pPr>
      <w:r>
        <w:rPr>
          <w:rFonts w:hint="eastAsia" w:ascii="仿宋" w:hAnsi="仿宋" w:eastAsia="仿宋"/>
          <w:b/>
          <w:sz w:val="28"/>
          <w:szCs w:val="36"/>
        </w:rPr>
        <w:t>附件1</w:t>
      </w:r>
    </w:p>
    <w:p>
      <w:pPr>
        <w:spacing w:line="360" w:lineRule="auto"/>
        <w:jc w:val="center"/>
        <w:rPr>
          <w:rFonts w:ascii="仿宋" w:hAnsi="仿宋" w:eastAsia="仿宋" w:cs="仿宋"/>
          <w:b/>
          <w:bCs/>
          <w:sz w:val="32"/>
          <w:szCs w:val="44"/>
        </w:rPr>
      </w:pPr>
      <w:r>
        <w:rPr>
          <w:rFonts w:hint="eastAsia" w:ascii="仿宋" w:hAnsi="仿宋" w:eastAsia="仿宋" w:cs="仿宋"/>
          <w:b/>
          <w:bCs/>
          <w:sz w:val="32"/>
          <w:szCs w:val="44"/>
        </w:rPr>
        <w:t>和平县集体农用地基准地价范围及内涵</w:t>
      </w:r>
    </w:p>
    <w:p>
      <w:pPr>
        <w:numPr>
          <w:ilvl w:val="0"/>
          <w:numId w:val="1"/>
        </w:numPr>
        <w:spacing w:line="360" w:lineRule="auto"/>
        <w:ind w:firstLine="482" w:firstLineChars="200"/>
        <w:rPr>
          <w:rFonts w:ascii="仿宋" w:hAnsi="仿宋" w:eastAsia="仿宋" w:cs="仿宋"/>
          <w:sz w:val="24"/>
        </w:rPr>
      </w:pPr>
      <w:r>
        <w:rPr>
          <w:rFonts w:hint="eastAsia" w:ascii="仿宋" w:hAnsi="仿宋" w:eastAsia="仿宋" w:cs="仿宋"/>
          <w:b/>
          <w:bCs/>
          <w:sz w:val="24"/>
          <w:szCs w:val="32"/>
        </w:rPr>
        <w:t>基准地价范围。</w:t>
      </w:r>
      <w:r>
        <w:rPr>
          <w:rFonts w:ascii="Times New Roman" w:hAnsi="Times New Roman" w:eastAsia="仿宋" w:cs="Times New Roman"/>
          <w:sz w:val="24"/>
          <w:szCs w:val="32"/>
        </w:rPr>
        <w:t>2020</w:t>
      </w:r>
      <w:r>
        <w:rPr>
          <w:rFonts w:hint="eastAsia" w:ascii="仿宋" w:hAnsi="仿宋" w:eastAsia="仿宋" w:cs="仿宋"/>
          <w:sz w:val="24"/>
          <w:szCs w:val="32"/>
        </w:rPr>
        <w:t>年和平县集体农用地基准地价评估项目的工作对象是行政区内现有集体农用地和集体宜农未利用地。但由于相关技术规程、标准未提供宜农未利用地的评估技术方法，且和平县也缺乏相应交易案例，因此，本次和平县</w:t>
      </w:r>
      <w:r>
        <w:rPr>
          <w:rFonts w:hint="eastAsia" w:ascii="仿宋" w:hAnsi="仿宋" w:eastAsia="仿宋" w:cs="仿宋"/>
          <w:sz w:val="24"/>
        </w:rPr>
        <w:t>集体农用地基准地价评估集体宜农未利用地通过其他地类进行修正，只对耕地（水田、水浇地和旱地）、园地（茶园、果园和其他园地）、林地（有林地、灌木林地和其他林地）和坑塘水面四种集体农用地类进行评估。和平县集体农用地总面积</w:t>
      </w:r>
      <w:r>
        <w:rPr>
          <w:rFonts w:ascii="Times New Roman" w:hAnsi="Times New Roman" w:eastAsia="仿宋" w:cs="Times New Roman"/>
          <w:sz w:val="24"/>
        </w:rPr>
        <w:t>203619.84</w:t>
      </w:r>
      <w:r>
        <w:rPr>
          <w:rFonts w:hint="eastAsia" w:ascii="仿宋" w:hAnsi="仿宋" w:eastAsia="仿宋" w:cs="仿宋"/>
          <w:sz w:val="24"/>
        </w:rPr>
        <w:t>公顷，具体见表</w:t>
      </w:r>
      <w:r>
        <w:rPr>
          <w:rFonts w:ascii="Times New Roman" w:hAnsi="Times New Roman" w:eastAsia="仿宋" w:cs="Times New Roman"/>
          <w:sz w:val="24"/>
        </w:rPr>
        <w:t>1</w:t>
      </w:r>
      <w:r>
        <w:rPr>
          <w:rFonts w:hint="eastAsia" w:ascii="仿宋" w:hAnsi="仿宋" w:eastAsia="仿宋" w:cs="仿宋"/>
          <w:sz w:val="24"/>
        </w:rPr>
        <w:t>：</w:t>
      </w:r>
    </w:p>
    <w:p>
      <w:pPr>
        <w:spacing w:line="360" w:lineRule="auto"/>
        <w:jc w:val="center"/>
        <w:rPr>
          <w:rFonts w:ascii="Times New Roman" w:hAnsi="Times New Roman" w:eastAsia="仿宋" w:cs="Times New Roman"/>
          <w:b/>
          <w:bCs/>
          <w:sz w:val="22"/>
          <w:szCs w:val="22"/>
        </w:rPr>
      </w:pPr>
      <w:r>
        <w:rPr>
          <w:rFonts w:ascii="Times New Roman" w:hAnsi="Times New Roman" w:eastAsia="仿宋" w:cs="Times New Roman"/>
          <w:b/>
          <w:bCs/>
          <w:sz w:val="22"/>
          <w:szCs w:val="22"/>
        </w:rPr>
        <w:t>表</w:t>
      </w:r>
      <w:r>
        <w:rPr>
          <w:rFonts w:hint="eastAsia" w:ascii="Times New Roman" w:hAnsi="Times New Roman" w:eastAsia="仿宋" w:cs="Times New Roman"/>
          <w:b/>
          <w:bCs/>
          <w:sz w:val="22"/>
          <w:szCs w:val="22"/>
        </w:rPr>
        <w:t>1</w:t>
      </w:r>
      <w:r>
        <w:rPr>
          <w:rFonts w:ascii="Times New Roman" w:hAnsi="Times New Roman" w:eastAsia="仿宋" w:cs="Times New Roman"/>
          <w:b/>
          <w:bCs/>
          <w:sz w:val="22"/>
          <w:szCs w:val="22"/>
        </w:rPr>
        <w:t xml:space="preserve"> 和平县集体农用地基准地价工作对象面积数据统计表</w:t>
      </w:r>
    </w:p>
    <w:tbl>
      <w:tblPr>
        <w:tblStyle w:val="5"/>
        <w:tblW w:w="8333" w:type="dxa"/>
        <w:tblInd w:w="0" w:type="dxa"/>
        <w:tblLayout w:type="fixed"/>
        <w:tblCellMar>
          <w:top w:w="0" w:type="dxa"/>
          <w:left w:w="0" w:type="dxa"/>
          <w:bottom w:w="0" w:type="dxa"/>
          <w:right w:w="0" w:type="dxa"/>
        </w:tblCellMar>
      </w:tblPr>
      <w:tblGrid>
        <w:gridCol w:w="1338"/>
        <w:gridCol w:w="2017"/>
        <w:gridCol w:w="1522"/>
        <w:gridCol w:w="1692"/>
        <w:gridCol w:w="1764"/>
      </w:tblGrid>
      <w:tr>
        <w:tblPrEx>
          <w:tblLayout w:type="fixed"/>
          <w:tblCellMar>
            <w:top w:w="0" w:type="dxa"/>
            <w:left w:w="0" w:type="dxa"/>
            <w:bottom w:w="0" w:type="dxa"/>
            <w:right w:w="0" w:type="dxa"/>
          </w:tblCellMar>
        </w:tblPrEx>
        <w:trPr>
          <w:trHeight w:val="270"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b/>
                <w:bCs/>
                <w:color w:val="000000"/>
                <w:sz w:val="22"/>
                <w:szCs w:val="22"/>
              </w:rPr>
            </w:pPr>
            <w:r>
              <w:rPr>
                <w:rFonts w:ascii="Times New Roman" w:hAnsi="Times New Roman" w:eastAsia="仿宋" w:cs="Times New Roman"/>
                <w:b/>
                <w:bCs/>
                <w:color w:val="000000"/>
                <w:kern w:val="0"/>
                <w:sz w:val="24"/>
                <w:lang w:bidi="ar"/>
              </w:rPr>
              <w:t>一级类</w:t>
            </w: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b/>
                <w:bCs/>
                <w:color w:val="000000"/>
                <w:sz w:val="22"/>
                <w:szCs w:val="22"/>
              </w:rPr>
            </w:pPr>
            <w:r>
              <w:rPr>
                <w:rFonts w:ascii="Times New Roman" w:hAnsi="Times New Roman" w:eastAsia="仿宋" w:cs="Times New Roman"/>
                <w:b/>
                <w:bCs/>
                <w:color w:val="000000"/>
                <w:kern w:val="0"/>
                <w:sz w:val="24"/>
                <w:lang w:bidi="ar"/>
              </w:rPr>
              <w:t>面积（公顷）</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b/>
                <w:bCs/>
                <w:color w:val="000000"/>
                <w:sz w:val="22"/>
                <w:szCs w:val="22"/>
              </w:rPr>
            </w:pPr>
            <w:r>
              <w:rPr>
                <w:rFonts w:ascii="Times New Roman" w:hAnsi="Times New Roman" w:eastAsia="仿宋" w:cs="Times New Roman"/>
                <w:b/>
                <w:bCs/>
                <w:color w:val="000000"/>
                <w:kern w:val="0"/>
                <w:sz w:val="24"/>
                <w:lang w:bidi="ar"/>
              </w:rPr>
              <w:t>二级类</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b/>
                <w:bCs/>
                <w:color w:val="000000"/>
                <w:sz w:val="22"/>
                <w:szCs w:val="22"/>
              </w:rPr>
            </w:pPr>
            <w:r>
              <w:rPr>
                <w:rFonts w:ascii="Times New Roman" w:hAnsi="Times New Roman" w:eastAsia="仿宋" w:cs="Times New Roman"/>
                <w:b/>
                <w:bCs/>
                <w:color w:val="000000"/>
                <w:kern w:val="0"/>
                <w:sz w:val="24"/>
                <w:lang w:bidi="ar"/>
              </w:rPr>
              <w:t>面积（公顷）</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b/>
                <w:bCs/>
                <w:color w:val="000000"/>
                <w:sz w:val="22"/>
                <w:szCs w:val="22"/>
              </w:rPr>
            </w:pPr>
            <w:r>
              <w:rPr>
                <w:rFonts w:ascii="Times New Roman" w:hAnsi="Times New Roman" w:eastAsia="仿宋" w:cs="Times New Roman"/>
                <w:b/>
                <w:bCs/>
                <w:color w:val="000000"/>
                <w:kern w:val="0"/>
                <w:sz w:val="24"/>
                <w:lang w:bidi="ar"/>
              </w:rPr>
              <w:t>占一级类比重</w:t>
            </w:r>
          </w:p>
        </w:tc>
      </w:tr>
      <w:tr>
        <w:tblPrEx>
          <w:tblLayout w:type="fixed"/>
          <w:tblCellMar>
            <w:top w:w="0" w:type="dxa"/>
            <w:left w:w="0" w:type="dxa"/>
            <w:bottom w:w="0" w:type="dxa"/>
            <w:right w:w="0" w:type="dxa"/>
          </w:tblCellMar>
        </w:tblPrEx>
        <w:trPr>
          <w:trHeight w:val="270" w:hRule="atLeast"/>
        </w:trPr>
        <w:tc>
          <w:tcPr>
            <w:tcW w:w="13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b/>
                <w:bCs/>
                <w:color w:val="000000"/>
                <w:sz w:val="22"/>
                <w:szCs w:val="22"/>
              </w:rPr>
            </w:pPr>
            <w:r>
              <w:rPr>
                <w:rFonts w:ascii="Times New Roman" w:hAnsi="Times New Roman" w:eastAsia="仿宋" w:cs="Times New Roman"/>
                <w:b/>
                <w:bCs/>
                <w:color w:val="000000"/>
                <w:kern w:val="0"/>
                <w:sz w:val="24"/>
                <w:lang w:bidi="ar"/>
              </w:rPr>
              <w:t>耕地</w:t>
            </w:r>
          </w:p>
        </w:tc>
        <w:tc>
          <w:tcPr>
            <w:tcW w:w="20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26724.19</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水田</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19198.59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71.84%</w:t>
            </w:r>
          </w:p>
        </w:tc>
      </w:tr>
      <w:tr>
        <w:tblPrEx>
          <w:tblLayout w:type="fixed"/>
          <w:tblCellMar>
            <w:top w:w="0" w:type="dxa"/>
            <w:left w:w="0" w:type="dxa"/>
            <w:bottom w:w="0" w:type="dxa"/>
            <w:right w:w="0" w:type="dxa"/>
          </w:tblCellMar>
        </w:tblPrEx>
        <w:trPr>
          <w:trHeight w:val="270"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仿宋" w:cs="Times New Roman"/>
                <w:b/>
                <w:bCs/>
                <w:color w:val="000000"/>
                <w:sz w:val="22"/>
                <w:szCs w:val="22"/>
              </w:rPr>
            </w:pPr>
          </w:p>
        </w:tc>
        <w:tc>
          <w:tcPr>
            <w:tcW w:w="20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仿宋" w:cs="Times New Roman"/>
                <w:color w:val="000000"/>
                <w:sz w:val="22"/>
                <w:szCs w:val="22"/>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水浇地</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26.44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0.10%</w:t>
            </w:r>
          </w:p>
        </w:tc>
      </w:tr>
      <w:tr>
        <w:tblPrEx>
          <w:tblLayout w:type="fixed"/>
          <w:tblCellMar>
            <w:top w:w="0" w:type="dxa"/>
            <w:left w:w="0" w:type="dxa"/>
            <w:bottom w:w="0" w:type="dxa"/>
            <w:right w:w="0" w:type="dxa"/>
          </w:tblCellMar>
        </w:tblPrEx>
        <w:trPr>
          <w:trHeight w:val="270"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仿宋" w:cs="Times New Roman"/>
                <w:b/>
                <w:bCs/>
                <w:color w:val="000000"/>
                <w:sz w:val="22"/>
                <w:szCs w:val="22"/>
              </w:rPr>
            </w:pPr>
          </w:p>
        </w:tc>
        <w:tc>
          <w:tcPr>
            <w:tcW w:w="20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仿宋" w:cs="Times New Roman"/>
                <w:color w:val="000000"/>
                <w:sz w:val="22"/>
                <w:szCs w:val="22"/>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旱地</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7499.16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28.06%</w:t>
            </w:r>
          </w:p>
        </w:tc>
      </w:tr>
      <w:tr>
        <w:tblPrEx>
          <w:tblLayout w:type="fixed"/>
          <w:tblCellMar>
            <w:top w:w="0" w:type="dxa"/>
            <w:left w:w="0" w:type="dxa"/>
            <w:bottom w:w="0" w:type="dxa"/>
            <w:right w:w="0" w:type="dxa"/>
          </w:tblCellMar>
        </w:tblPrEx>
        <w:trPr>
          <w:trHeight w:val="270" w:hRule="atLeast"/>
        </w:trPr>
        <w:tc>
          <w:tcPr>
            <w:tcW w:w="13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b/>
                <w:bCs/>
                <w:color w:val="000000"/>
                <w:sz w:val="22"/>
                <w:szCs w:val="22"/>
              </w:rPr>
            </w:pPr>
            <w:r>
              <w:rPr>
                <w:rFonts w:ascii="Times New Roman" w:hAnsi="Times New Roman" w:eastAsia="仿宋" w:cs="Times New Roman"/>
                <w:b/>
                <w:bCs/>
                <w:color w:val="000000"/>
                <w:kern w:val="0"/>
                <w:sz w:val="24"/>
                <w:lang w:bidi="ar"/>
              </w:rPr>
              <w:t>园地</w:t>
            </w:r>
          </w:p>
        </w:tc>
        <w:tc>
          <w:tcPr>
            <w:tcW w:w="20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5007.78</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茶园</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73.65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1.47%</w:t>
            </w:r>
          </w:p>
        </w:tc>
      </w:tr>
      <w:tr>
        <w:tblPrEx>
          <w:tblLayout w:type="fixed"/>
          <w:tblCellMar>
            <w:top w:w="0" w:type="dxa"/>
            <w:left w:w="0" w:type="dxa"/>
            <w:bottom w:w="0" w:type="dxa"/>
            <w:right w:w="0" w:type="dxa"/>
          </w:tblCellMar>
        </w:tblPrEx>
        <w:trPr>
          <w:trHeight w:val="270"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仿宋" w:cs="Times New Roman"/>
                <w:b/>
                <w:bCs/>
                <w:color w:val="000000"/>
                <w:sz w:val="22"/>
                <w:szCs w:val="22"/>
              </w:rPr>
            </w:pPr>
          </w:p>
        </w:tc>
        <w:tc>
          <w:tcPr>
            <w:tcW w:w="20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仿宋" w:cs="Times New Roman"/>
                <w:color w:val="000000"/>
                <w:sz w:val="22"/>
                <w:szCs w:val="22"/>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果园</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950.3</w:t>
            </w:r>
            <w:r>
              <w:rPr>
                <w:rFonts w:hint="eastAsia" w:ascii="Times New Roman" w:hAnsi="Times New Roman" w:eastAsia="仿宋" w:cs="Times New Roman"/>
                <w:color w:val="000000"/>
                <w:kern w:val="0"/>
                <w:sz w:val="24"/>
                <w:lang w:bidi="ar"/>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18.98%</w:t>
            </w:r>
          </w:p>
        </w:tc>
      </w:tr>
      <w:tr>
        <w:tblPrEx>
          <w:tblLayout w:type="fixed"/>
          <w:tblCellMar>
            <w:top w:w="0" w:type="dxa"/>
            <w:left w:w="0" w:type="dxa"/>
            <w:bottom w:w="0" w:type="dxa"/>
            <w:right w:w="0" w:type="dxa"/>
          </w:tblCellMar>
        </w:tblPrEx>
        <w:trPr>
          <w:trHeight w:val="270"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仿宋" w:cs="Times New Roman"/>
                <w:b/>
                <w:bCs/>
                <w:color w:val="000000"/>
                <w:sz w:val="22"/>
                <w:szCs w:val="22"/>
              </w:rPr>
            </w:pPr>
          </w:p>
        </w:tc>
        <w:tc>
          <w:tcPr>
            <w:tcW w:w="20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仿宋" w:cs="Times New Roman"/>
                <w:color w:val="000000"/>
                <w:sz w:val="22"/>
                <w:szCs w:val="22"/>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其他园地</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3983.76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79.55%</w:t>
            </w:r>
          </w:p>
        </w:tc>
      </w:tr>
      <w:tr>
        <w:tblPrEx>
          <w:tblLayout w:type="fixed"/>
          <w:tblCellMar>
            <w:top w:w="0" w:type="dxa"/>
            <w:left w:w="0" w:type="dxa"/>
            <w:bottom w:w="0" w:type="dxa"/>
            <w:right w:w="0" w:type="dxa"/>
          </w:tblCellMar>
        </w:tblPrEx>
        <w:trPr>
          <w:trHeight w:val="270" w:hRule="atLeast"/>
        </w:trPr>
        <w:tc>
          <w:tcPr>
            <w:tcW w:w="133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b/>
                <w:bCs/>
                <w:color w:val="000000"/>
                <w:sz w:val="22"/>
                <w:szCs w:val="22"/>
              </w:rPr>
            </w:pPr>
            <w:r>
              <w:rPr>
                <w:rFonts w:ascii="Times New Roman" w:hAnsi="Times New Roman" w:eastAsia="仿宋" w:cs="Times New Roman"/>
                <w:b/>
                <w:bCs/>
                <w:color w:val="000000"/>
                <w:kern w:val="0"/>
                <w:sz w:val="24"/>
                <w:lang w:bidi="ar"/>
              </w:rPr>
              <w:t>林地</w:t>
            </w:r>
          </w:p>
        </w:tc>
        <w:tc>
          <w:tcPr>
            <w:tcW w:w="201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171533.76</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有林地</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146696.82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85.52%</w:t>
            </w:r>
          </w:p>
        </w:tc>
      </w:tr>
      <w:tr>
        <w:tblPrEx>
          <w:tblLayout w:type="fixed"/>
          <w:tblCellMar>
            <w:top w:w="0" w:type="dxa"/>
            <w:left w:w="0" w:type="dxa"/>
            <w:bottom w:w="0" w:type="dxa"/>
            <w:right w:w="0" w:type="dxa"/>
          </w:tblCellMar>
        </w:tblPrEx>
        <w:trPr>
          <w:trHeight w:val="270"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仿宋" w:cs="Times New Roman"/>
                <w:b/>
                <w:bCs/>
                <w:color w:val="000000"/>
                <w:sz w:val="22"/>
                <w:szCs w:val="22"/>
              </w:rPr>
            </w:pPr>
          </w:p>
        </w:tc>
        <w:tc>
          <w:tcPr>
            <w:tcW w:w="20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仿宋" w:cs="Times New Roman"/>
                <w:color w:val="000000"/>
                <w:sz w:val="22"/>
                <w:szCs w:val="22"/>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灌木林地</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46.32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0.03%</w:t>
            </w:r>
          </w:p>
        </w:tc>
      </w:tr>
      <w:tr>
        <w:tblPrEx>
          <w:tblLayout w:type="fixed"/>
          <w:tblCellMar>
            <w:top w:w="0" w:type="dxa"/>
            <w:left w:w="0" w:type="dxa"/>
            <w:bottom w:w="0" w:type="dxa"/>
            <w:right w:w="0" w:type="dxa"/>
          </w:tblCellMar>
        </w:tblPrEx>
        <w:trPr>
          <w:trHeight w:val="270" w:hRule="atLeast"/>
        </w:trPr>
        <w:tc>
          <w:tcPr>
            <w:tcW w:w="133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仿宋" w:cs="Times New Roman"/>
                <w:b/>
                <w:bCs/>
                <w:color w:val="000000"/>
                <w:sz w:val="22"/>
                <w:szCs w:val="22"/>
              </w:rPr>
            </w:pPr>
          </w:p>
        </w:tc>
        <w:tc>
          <w:tcPr>
            <w:tcW w:w="201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仿宋" w:cs="Times New Roman"/>
                <w:color w:val="000000"/>
                <w:sz w:val="22"/>
                <w:szCs w:val="22"/>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其他林地</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24790.6</w:t>
            </w:r>
            <w:r>
              <w:rPr>
                <w:rFonts w:hint="eastAsia" w:ascii="Times New Roman" w:hAnsi="Times New Roman" w:eastAsia="仿宋" w:cs="Times New Roman"/>
                <w:color w:val="000000"/>
                <w:kern w:val="0"/>
                <w:sz w:val="24"/>
                <w:lang w:bidi="ar"/>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14.45%</w:t>
            </w:r>
          </w:p>
        </w:tc>
      </w:tr>
      <w:tr>
        <w:tblPrEx>
          <w:tblLayout w:type="fixed"/>
          <w:tblCellMar>
            <w:top w:w="0" w:type="dxa"/>
            <w:left w:w="0" w:type="dxa"/>
            <w:bottom w:w="0" w:type="dxa"/>
            <w:right w:w="0" w:type="dxa"/>
          </w:tblCellMar>
        </w:tblPrEx>
        <w:trPr>
          <w:trHeight w:val="270"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b/>
                <w:bCs/>
                <w:color w:val="000000"/>
                <w:sz w:val="22"/>
                <w:szCs w:val="22"/>
              </w:rPr>
            </w:pPr>
            <w:r>
              <w:rPr>
                <w:rFonts w:ascii="Times New Roman" w:hAnsi="Times New Roman" w:eastAsia="仿宋" w:cs="Times New Roman"/>
                <w:b/>
                <w:bCs/>
                <w:color w:val="000000"/>
                <w:kern w:val="0"/>
                <w:sz w:val="24"/>
                <w:lang w:bidi="ar"/>
              </w:rPr>
              <w:t>坑塘水面</w:t>
            </w: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354.11</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坑塘水面</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354.11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100%</w:t>
            </w:r>
          </w:p>
        </w:tc>
      </w:tr>
      <w:tr>
        <w:tblPrEx>
          <w:tblLayout w:type="fixed"/>
          <w:tblCellMar>
            <w:top w:w="0" w:type="dxa"/>
            <w:left w:w="0" w:type="dxa"/>
            <w:bottom w:w="0" w:type="dxa"/>
            <w:right w:w="0" w:type="dxa"/>
          </w:tblCellMar>
        </w:tblPrEx>
        <w:trPr>
          <w:trHeight w:val="270" w:hRule="atLeast"/>
        </w:trPr>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b/>
                <w:bCs/>
                <w:color w:val="000000"/>
                <w:sz w:val="22"/>
                <w:szCs w:val="22"/>
              </w:rPr>
            </w:pPr>
            <w:r>
              <w:rPr>
                <w:rFonts w:ascii="Times New Roman" w:hAnsi="Times New Roman" w:eastAsia="仿宋" w:cs="Times New Roman"/>
                <w:b/>
                <w:bCs/>
                <w:color w:val="000000"/>
                <w:kern w:val="0"/>
                <w:sz w:val="24"/>
                <w:lang w:bidi="ar"/>
              </w:rPr>
              <w:t>总计</w:t>
            </w:r>
          </w:p>
        </w:tc>
        <w:tc>
          <w:tcPr>
            <w:tcW w:w="2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203619.8</w:t>
            </w:r>
            <w:r>
              <w:rPr>
                <w:rFonts w:hint="eastAsia" w:ascii="Times New Roman" w:hAnsi="Times New Roman" w:eastAsia="仿宋" w:cs="Times New Roman"/>
                <w:color w:val="000000"/>
                <w:kern w:val="0"/>
                <w:sz w:val="24"/>
                <w:lang w:bidi="ar"/>
              </w:rPr>
              <w:t>4</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203619.8</w:t>
            </w:r>
            <w:r>
              <w:rPr>
                <w:rFonts w:hint="eastAsia" w:ascii="Times New Roman" w:hAnsi="Times New Roman" w:eastAsia="仿宋" w:cs="Times New Roman"/>
                <w:color w:val="000000"/>
                <w:kern w:val="0"/>
                <w:sz w:val="24"/>
                <w:lang w:bidi="ar"/>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2"/>
                <w:szCs w:val="22"/>
              </w:rPr>
            </w:pPr>
            <w:r>
              <w:rPr>
                <w:rFonts w:ascii="Times New Roman" w:hAnsi="Times New Roman" w:eastAsia="仿宋" w:cs="Times New Roman"/>
                <w:color w:val="000000"/>
                <w:kern w:val="0"/>
                <w:sz w:val="24"/>
                <w:lang w:bidi="ar"/>
              </w:rPr>
              <w:t>——</w:t>
            </w:r>
          </w:p>
        </w:tc>
      </w:tr>
    </w:tbl>
    <w:p>
      <w:pPr>
        <w:spacing w:line="360" w:lineRule="auto"/>
        <w:ind w:left="480"/>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p>
    <w:p>
      <w:pPr>
        <w:numPr>
          <w:ilvl w:val="0"/>
          <w:numId w:val="1"/>
        </w:numPr>
        <w:spacing w:line="360" w:lineRule="auto"/>
        <w:ind w:firstLine="482" w:firstLineChars="200"/>
        <w:rPr>
          <w:rFonts w:ascii="仿宋" w:hAnsi="仿宋" w:eastAsia="仿宋" w:cs="仿宋"/>
          <w:sz w:val="24"/>
        </w:rPr>
      </w:pPr>
      <w:r>
        <w:rPr>
          <w:rFonts w:hint="eastAsia" w:ascii="仿宋" w:hAnsi="仿宋" w:eastAsia="仿宋" w:cs="仿宋"/>
          <w:b/>
          <w:bCs/>
          <w:sz w:val="24"/>
        </w:rPr>
        <w:t>基准地价内涵。</w:t>
      </w:r>
      <w:r>
        <w:rPr>
          <w:rFonts w:hint="eastAsia" w:ascii="仿宋" w:hAnsi="仿宋" w:eastAsia="仿宋" w:cs="仿宋"/>
          <w:sz w:val="24"/>
        </w:rPr>
        <w:t>本轮基准地价的评估用途中根据《广东省集体农用地基准地价评估指导意见》的技术要求，综合和平县集体农用地及宜农未利用地的分布和利用现状，确定本次和平县集体农用地基准地价内涵界定包括土地使用权类型、承包经营年期、土地出租年期、基本设施状况、估价期日等。本次和平县集体农用地基准地价的评估用途主要为耕地、园地、林地、坑塘水面，具体基准地价内涵如下：</w:t>
      </w:r>
    </w:p>
    <w:p>
      <w:pPr>
        <w:spacing w:line="360" w:lineRule="auto"/>
        <w:ind w:firstLine="480" w:firstLineChars="200"/>
        <w:rPr>
          <w:rFonts w:ascii="仿宋" w:hAnsi="仿宋" w:eastAsia="仿宋" w:cs="仿宋"/>
          <w:sz w:val="24"/>
        </w:rPr>
      </w:pPr>
      <w:r>
        <w:rPr>
          <w:rFonts w:hint="eastAsia" w:ascii="仿宋" w:hAnsi="仿宋" w:eastAsia="仿宋" w:cs="仿宋"/>
          <w:sz w:val="24"/>
        </w:rPr>
        <w:t>1、耕地：土地在正常市场条件，所在区域具有普遍性、适宜性的种植制度下，宗地外道路通达且有水源保障、宗地内平整、大小适中、形状规则、有基本的排水与灌溉设施且田间道路密度适中，于估价期日为</w:t>
      </w:r>
      <w:r>
        <w:rPr>
          <w:rFonts w:ascii="Times New Roman" w:hAnsi="Times New Roman" w:eastAsia="仿宋" w:cs="Times New Roman"/>
          <w:sz w:val="24"/>
        </w:rPr>
        <w:t>2020年1月1</w:t>
      </w:r>
      <w:r>
        <w:rPr>
          <w:rFonts w:hint="eastAsia" w:ascii="仿宋" w:hAnsi="仿宋" w:eastAsia="仿宋" w:cs="仿宋"/>
          <w:sz w:val="24"/>
        </w:rPr>
        <w:t>日、土地使用年期为</w:t>
      </w:r>
      <w:r>
        <w:rPr>
          <w:rFonts w:ascii="Times New Roman" w:hAnsi="Times New Roman" w:eastAsia="仿宋" w:cs="Times New Roman"/>
          <w:sz w:val="24"/>
        </w:rPr>
        <w:t>30</w:t>
      </w:r>
      <w:r>
        <w:rPr>
          <w:rFonts w:hint="eastAsia" w:ascii="仿宋" w:hAnsi="仿宋" w:eastAsia="仿宋" w:cs="仿宋"/>
          <w:sz w:val="24"/>
        </w:rPr>
        <w:t>年的</w:t>
      </w:r>
      <w:r>
        <w:rPr>
          <w:rFonts w:hint="eastAsia" w:ascii="仿宋" w:hAnsi="仿宋" w:eastAsia="仿宋" w:cs="仿宋"/>
          <w:b/>
          <w:bCs/>
          <w:sz w:val="24"/>
        </w:rPr>
        <w:t>集体承包经营权平均价格</w:t>
      </w:r>
      <w:r>
        <w:rPr>
          <w:rFonts w:hint="eastAsia" w:ascii="仿宋" w:hAnsi="仿宋" w:eastAsia="仿宋" w:cs="仿宋"/>
          <w:sz w:val="24"/>
        </w:rPr>
        <w:t>（价格单位为元/平方米，币种为人民币）。</w:t>
      </w:r>
    </w:p>
    <w:p>
      <w:pPr>
        <w:spacing w:line="360" w:lineRule="auto"/>
        <w:ind w:firstLine="480" w:firstLineChars="200"/>
        <w:rPr>
          <w:rFonts w:ascii="仿宋" w:hAnsi="仿宋" w:eastAsia="仿宋" w:cs="仿宋"/>
          <w:sz w:val="24"/>
        </w:rPr>
      </w:pPr>
      <w:r>
        <w:rPr>
          <w:rFonts w:hint="eastAsia" w:ascii="仿宋" w:hAnsi="仿宋" w:eastAsia="仿宋" w:cs="仿宋"/>
          <w:sz w:val="24"/>
        </w:rPr>
        <w:t>2、园地：土地在正常市场条件，所在区域具有普遍性、适宜性的种植制度下，宗地外道路通达且有水源保障、宗地内有基本的排水与灌溉设施，于估价期日为</w:t>
      </w:r>
      <w:r>
        <w:rPr>
          <w:rFonts w:ascii="Times New Roman" w:hAnsi="Times New Roman" w:eastAsia="仿宋" w:cs="Times New Roman"/>
          <w:sz w:val="24"/>
        </w:rPr>
        <w:t>2020年1月1</w:t>
      </w:r>
      <w:r>
        <w:rPr>
          <w:rFonts w:hint="eastAsia" w:ascii="仿宋" w:hAnsi="仿宋" w:eastAsia="仿宋" w:cs="仿宋"/>
          <w:sz w:val="24"/>
        </w:rPr>
        <w:t>日、土地使用年期为</w:t>
      </w:r>
      <w:r>
        <w:rPr>
          <w:rFonts w:ascii="Times New Roman" w:hAnsi="Times New Roman" w:eastAsia="仿宋" w:cs="Times New Roman"/>
          <w:sz w:val="24"/>
        </w:rPr>
        <w:t>30</w:t>
      </w:r>
      <w:r>
        <w:rPr>
          <w:rFonts w:hint="eastAsia" w:ascii="仿宋" w:hAnsi="仿宋" w:eastAsia="仿宋" w:cs="仿宋"/>
          <w:sz w:val="24"/>
        </w:rPr>
        <w:t>年的</w:t>
      </w:r>
      <w:r>
        <w:rPr>
          <w:rFonts w:hint="eastAsia" w:ascii="仿宋" w:hAnsi="仿宋" w:eastAsia="仿宋" w:cs="仿宋"/>
          <w:b/>
          <w:bCs/>
          <w:sz w:val="24"/>
        </w:rPr>
        <w:t>集体承包经营权平均价格</w:t>
      </w:r>
      <w:r>
        <w:rPr>
          <w:rFonts w:hint="eastAsia" w:ascii="仿宋" w:hAnsi="仿宋" w:eastAsia="仿宋" w:cs="仿宋"/>
          <w:sz w:val="24"/>
        </w:rPr>
        <w:t>（价格单位为元/平方米，币种为人民币）。</w:t>
      </w:r>
    </w:p>
    <w:p>
      <w:pPr>
        <w:spacing w:line="360" w:lineRule="auto"/>
        <w:ind w:firstLine="480" w:firstLineChars="200"/>
        <w:rPr>
          <w:rFonts w:ascii="仿宋" w:hAnsi="仿宋" w:eastAsia="仿宋" w:cs="仿宋"/>
          <w:sz w:val="24"/>
        </w:rPr>
      </w:pPr>
      <w:r>
        <w:rPr>
          <w:rFonts w:hint="eastAsia" w:ascii="仿宋" w:hAnsi="仿宋" w:eastAsia="仿宋" w:cs="仿宋"/>
          <w:sz w:val="24"/>
        </w:rPr>
        <w:t>3、林地：土地在正常市场条件，按照所在区域具有普遍性、适宜性的种植制度下，设定宗地外道路通达，于估价期日</w:t>
      </w:r>
      <w:r>
        <w:rPr>
          <w:rFonts w:ascii="Times New Roman" w:hAnsi="Times New Roman" w:eastAsia="仿宋" w:cs="Times New Roman"/>
          <w:sz w:val="24"/>
        </w:rPr>
        <w:t>为2020年1月1</w:t>
      </w:r>
      <w:r>
        <w:rPr>
          <w:rFonts w:hint="eastAsia" w:ascii="仿宋" w:hAnsi="仿宋" w:eastAsia="仿宋" w:cs="仿宋"/>
          <w:sz w:val="24"/>
        </w:rPr>
        <w:t>日、土地使用年期为</w:t>
      </w:r>
      <w:r>
        <w:rPr>
          <w:rFonts w:ascii="Times New Roman" w:hAnsi="Times New Roman" w:eastAsia="仿宋" w:cs="Times New Roman"/>
          <w:sz w:val="24"/>
        </w:rPr>
        <w:t>70</w:t>
      </w:r>
      <w:r>
        <w:rPr>
          <w:rFonts w:hint="eastAsia" w:ascii="仿宋" w:hAnsi="仿宋" w:eastAsia="仿宋" w:cs="仿宋"/>
          <w:sz w:val="24"/>
        </w:rPr>
        <w:t>年的</w:t>
      </w:r>
      <w:r>
        <w:rPr>
          <w:rFonts w:hint="eastAsia" w:ascii="仿宋" w:hAnsi="仿宋" w:eastAsia="仿宋" w:cs="仿宋"/>
          <w:b/>
          <w:bCs/>
          <w:sz w:val="24"/>
        </w:rPr>
        <w:t>集体承包经营权平均价格</w:t>
      </w:r>
      <w:r>
        <w:rPr>
          <w:rFonts w:hint="eastAsia" w:ascii="仿宋" w:hAnsi="仿宋" w:eastAsia="仿宋" w:cs="仿宋"/>
          <w:sz w:val="24"/>
        </w:rPr>
        <w:t>（价格单位为元/平方米，币种为人民币）。</w:t>
      </w:r>
    </w:p>
    <w:p>
      <w:pPr>
        <w:spacing w:line="360" w:lineRule="auto"/>
        <w:ind w:firstLine="480" w:firstLineChars="200"/>
        <w:rPr>
          <w:rFonts w:ascii="仿宋" w:hAnsi="仿宋" w:eastAsia="仿宋" w:cs="仿宋"/>
          <w:sz w:val="24"/>
        </w:rPr>
      </w:pPr>
      <w:r>
        <w:rPr>
          <w:rFonts w:hint="eastAsia" w:ascii="仿宋" w:hAnsi="仿宋" w:eastAsia="仿宋" w:cs="仿宋"/>
          <w:sz w:val="24"/>
        </w:rPr>
        <w:t>4、坑塘水面：土地在正常市场条件，按照所在区域具有普遍性、适宜性的养殖制度下，宗地外道路通达且有水源保障、宗地内实现通电、有基本的排水与引水设施、大小适中、形状规则，于估价期日为</w:t>
      </w:r>
      <w:r>
        <w:rPr>
          <w:rFonts w:ascii="Times New Roman" w:hAnsi="Times New Roman" w:eastAsia="仿宋" w:cs="Times New Roman"/>
          <w:sz w:val="24"/>
        </w:rPr>
        <w:t>2020年1月1</w:t>
      </w:r>
      <w:r>
        <w:rPr>
          <w:rFonts w:hint="eastAsia" w:ascii="仿宋" w:hAnsi="仿宋" w:eastAsia="仿宋" w:cs="仿宋"/>
          <w:sz w:val="24"/>
        </w:rPr>
        <w:t>日、土地使用年期为</w:t>
      </w:r>
      <w:r>
        <w:rPr>
          <w:rFonts w:ascii="Times New Roman" w:hAnsi="Times New Roman" w:eastAsia="仿宋" w:cs="Times New Roman"/>
          <w:sz w:val="24"/>
        </w:rPr>
        <w:t>30</w:t>
      </w:r>
      <w:r>
        <w:rPr>
          <w:rFonts w:hint="eastAsia" w:ascii="仿宋" w:hAnsi="仿宋" w:eastAsia="仿宋" w:cs="仿宋"/>
          <w:sz w:val="24"/>
        </w:rPr>
        <w:t>年的</w:t>
      </w:r>
      <w:r>
        <w:rPr>
          <w:rFonts w:hint="eastAsia" w:ascii="仿宋" w:hAnsi="仿宋" w:eastAsia="仿宋" w:cs="仿宋"/>
          <w:b/>
          <w:bCs/>
          <w:sz w:val="24"/>
        </w:rPr>
        <w:t>集体承包经营权平均价格</w:t>
      </w:r>
      <w:r>
        <w:rPr>
          <w:rFonts w:hint="eastAsia" w:ascii="仿宋" w:hAnsi="仿宋" w:eastAsia="仿宋" w:cs="仿宋"/>
          <w:sz w:val="24"/>
        </w:rPr>
        <w:t>（价格单位为元/平方米，币种为人民币）。</w:t>
      </w:r>
    </w:p>
    <w:p>
      <w:pPr>
        <w:spacing w:line="360" w:lineRule="auto"/>
        <w:ind w:firstLine="480" w:firstLineChars="200"/>
        <w:rPr>
          <w:rFonts w:ascii="仿宋" w:hAnsi="仿宋" w:eastAsia="仿宋" w:cs="仿宋"/>
          <w:sz w:val="24"/>
        </w:rPr>
      </w:pPr>
      <w:r>
        <w:rPr>
          <w:rFonts w:hint="eastAsia" w:ascii="仿宋" w:hAnsi="仿宋" w:eastAsia="仿宋" w:cs="仿宋"/>
          <w:sz w:val="24"/>
        </w:rPr>
        <w:t>和平县集体农用地价格内涵表如下：</w:t>
      </w:r>
    </w:p>
    <w:p>
      <w:pPr>
        <w:spacing w:line="360" w:lineRule="auto"/>
        <w:jc w:val="center"/>
        <w:rPr>
          <w:rFonts w:ascii="Times New Roman" w:hAnsi="Times New Roman" w:eastAsia="仿宋" w:cs="Times New Roman"/>
          <w:b/>
          <w:bCs/>
          <w:szCs w:val="21"/>
        </w:rPr>
      </w:pPr>
    </w:p>
    <w:p>
      <w:pPr>
        <w:spacing w:line="360" w:lineRule="auto"/>
        <w:jc w:val="center"/>
        <w:rPr>
          <w:rFonts w:ascii="Times New Roman" w:hAnsi="Times New Roman" w:eastAsia="仿宋" w:cs="Times New Roman"/>
          <w:b/>
          <w:bCs/>
          <w:szCs w:val="21"/>
        </w:rPr>
      </w:pPr>
    </w:p>
    <w:p>
      <w:pPr>
        <w:spacing w:line="360" w:lineRule="auto"/>
        <w:jc w:val="center"/>
        <w:rPr>
          <w:rFonts w:ascii="Times New Roman" w:hAnsi="Times New Roman" w:eastAsia="仿宋" w:cs="Times New Roman"/>
          <w:b/>
          <w:bCs/>
          <w:szCs w:val="21"/>
        </w:rPr>
      </w:pPr>
    </w:p>
    <w:p>
      <w:pPr>
        <w:spacing w:line="360" w:lineRule="auto"/>
        <w:jc w:val="center"/>
        <w:rPr>
          <w:rFonts w:ascii="Times New Roman" w:hAnsi="Times New Roman" w:eastAsia="仿宋" w:cs="Times New Roman"/>
          <w:b/>
          <w:bCs/>
          <w:szCs w:val="21"/>
        </w:rPr>
      </w:pPr>
    </w:p>
    <w:p>
      <w:pPr>
        <w:spacing w:line="360" w:lineRule="auto"/>
        <w:jc w:val="center"/>
        <w:rPr>
          <w:rFonts w:ascii="Times New Roman" w:hAnsi="Times New Roman" w:eastAsia="仿宋" w:cs="Times New Roman"/>
          <w:b/>
          <w:bCs/>
          <w:szCs w:val="21"/>
        </w:rPr>
      </w:pPr>
    </w:p>
    <w:p>
      <w:pPr>
        <w:spacing w:line="360" w:lineRule="auto"/>
        <w:jc w:val="center"/>
        <w:rPr>
          <w:rFonts w:ascii="Times New Roman" w:hAnsi="Times New Roman" w:eastAsia="仿宋" w:cs="Times New Roman"/>
          <w:b/>
          <w:bCs/>
          <w:szCs w:val="21"/>
        </w:rPr>
      </w:pPr>
    </w:p>
    <w:p>
      <w:pPr>
        <w:spacing w:line="360" w:lineRule="auto"/>
        <w:jc w:val="center"/>
        <w:rPr>
          <w:rFonts w:ascii="Times New Roman" w:hAnsi="Times New Roman" w:eastAsia="仿宋" w:cs="Times New Roman"/>
          <w:b/>
          <w:bCs/>
          <w:szCs w:val="21"/>
        </w:rPr>
      </w:pPr>
    </w:p>
    <w:p>
      <w:pPr>
        <w:spacing w:line="360" w:lineRule="auto"/>
        <w:jc w:val="center"/>
        <w:rPr>
          <w:rFonts w:ascii="Times New Roman" w:hAnsi="Times New Roman" w:eastAsia="仿宋" w:cs="Times New Roman"/>
          <w:b/>
          <w:bCs/>
          <w:szCs w:val="21"/>
        </w:rPr>
      </w:pPr>
      <w:r>
        <w:rPr>
          <w:rFonts w:ascii="Times New Roman" w:hAnsi="Times New Roman" w:eastAsia="仿宋" w:cs="Times New Roman"/>
          <w:b/>
          <w:bCs/>
          <w:szCs w:val="21"/>
        </w:rPr>
        <w:t>表</w:t>
      </w:r>
      <w:r>
        <w:rPr>
          <w:rFonts w:hint="eastAsia" w:ascii="Times New Roman" w:hAnsi="Times New Roman" w:eastAsia="仿宋" w:cs="Times New Roman"/>
          <w:b/>
          <w:bCs/>
          <w:szCs w:val="21"/>
        </w:rPr>
        <w:t>2</w:t>
      </w:r>
      <w:r>
        <w:rPr>
          <w:rFonts w:ascii="Times New Roman" w:hAnsi="Times New Roman" w:eastAsia="仿宋" w:cs="Times New Roman"/>
          <w:b/>
          <w:bCs/>
          <w:szCs w:val="21"/>
        </w:rPr>
        <w:t xml:space="preserve"> 和平县集体农用地基准地价内涵表</w:t>
      </w:r>
    </w:p>
    <w:tbl>
      <w:tblPr>
        <w:tblStyle w:val="5"/>
        <w:tblW w:w="8336" w:type="dxa"/>
        <w:tblInd w:w="0" w:type="dxa"/>
        <w:tblLayout w:type="fixed"/>
        <w:tblCellMar>
          <w:top w:w="0" w:type="dxa"/>
          <w:left w:w="0" w:type="dxa"/>
          <w:bottom w:w="0" w:type="dxa"/>
          <w:right w:w="0" w:type="dxa"/>
        </w:tblCellMar>
      </w:tblPr>
      <w:tblGrid>
        <w:gridCol w:w="1799"/>
        <w:gridCol w:w="1299"/>
        <w:gridCol w:w="5238"/>
      </w:tblGrid>
      <w:tr>
        <w:tblPrEx>
          <w:tblLayout w:type="fixed"/>
          <w:tblCellMar>
            <w:top w:w="0" w:type="dxa"/>
            <w:left w:w="0" w:type="dxa"/>
            <w:bottom w:w="0" w:type="dxa"/>
            <w:right w:w="0" w:type="dxa"/>
          </w:tblCellMar>
        </w:tblPrEx>
        <w:trPr>
          <w:trHeight w:val="270" w:hRule="atLeast"/>
        </w:trPr>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b/>
                <w:bCs/>
                <w:color w:val="000000"/>
                <w:sz w:val="24"/>
              </w:rPr>
            </w:pPr>
            <w:r>
              <w:rPr>
                <w:rFonts w:ascii="Times New Roman" w:hAnsi="Times New Roman" w:eastAsia="仿宋" w:cs="Times New Roman"/>
                <w:b/>
                <w:bCs/>
                <w:color w:val="000000"/>
                <w:kern w:val="0"/>
                <w:sz w:val="24"/>
                <w:lang w:bidi="ar"/>
              </w:rPr>
              <w:t>集体农用地类型</w:t>
            </w:r>
          </w:p>
        </w:tc>
        <w:tc>
          <w:tcPr>
            <w:tcW w:w="65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lang w:bidi="ar"/>
              </w:rPr>
              <w:t>耕地、园地、林地、坑塘水面</w:t>
            </w:r>
          </w:p>
        </w:tc>
      </w:tr>
      <w:tr>
        <w:tblPrEx>
          <w:tblLayout w:type="fixed"/>
          <w:tblCellMar>
            <w:top w:w="0" w:type="dxa"/>
            <w:left w:w="0" w:type="dxa"/>
            <w:bottom w:w="0" w:type="dxa"/>
            <w:right w:w="0" w:type="dxa"/>
          </w:tblCellMar>
        </w:tblPrEx>
        <w:trPr>
          <w:trHeight w:val="270" w:hRule="atLeast"/>
        </w:trPr>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b/>
                <w:bCs/>
                <w:color w:val="000000"/>
                <w:sz w:val="24"/>
              </w:rPr>
            </w:pPr>
            <w:r>
              <w:rPr>
                <w:rFonts w:ascii="Times New Roman" w:hAnsi="Times New Roman" w:eastAsia="仿宋" w:cs="Times New Roman"/>
                <w:b/>
                <w:bCs/>
                <w:color w:val="000000"/>
                <w:kern w:val="0"/>
                <w:sz w:val="24"/>
                <w:lang w:bidi="ar"/>
              </w:rPr>
              <w:t>土地使用权类型</w:t>
            </w:r>
          </w:p>
        </w:tc>
        <w:tc>
          <w:tcPr>
            <w:tcW w:w="65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lang w:bidi="ar"/>
              </w:rPr>
              <w:t>集体农用地承包经营权</w:t>
            </w:r>
          </w:p>
        </w:tc>
      </w:tr>
      <w:tr>
        <w:tblPrEx>
          <w:tblLayout w:type="fixed"/>
          <w:tblCellMar>
            <w:top w:w="0" w:type="dxa"/>
            <w:left w:w="0" w:type="dxa"/>
            <w:bottom w:w="0" w:type="dxa"/>
            <w:right w:w="0" w:type="dxa"/>
          </w:tblCellMar>
        </w:tblPrEx>
        <w:trPr>
          <w:trHeight w:val="270" w:hRule="atLeast"/>
        </w:trPr>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b/>
                <w:bCs/>
                <w:color w:val="000000"/>
                <w:sz w:val="24"/>
              </w:rPr>
            </w:pPr>
            <w:r>
              <w:rPr>
                <w:rFonts w:ascii="Times New Roman" w:hAnsi="Times New Roman" w:eastAsia="仿宋" w:cs="Times New Roman"/>
                <w:b/>
                <w:bCs/>
                <w:color w:val="000000"/>
                <w:kern w:val="0"/>
                <w:sz w:val="24"/>
                <w:lang w:bidi="ar"/>
              </w:rPr>
              <w:t>承包经营年期</w:t>
            </w:r>
          </w:p>
        </w:tc>
        <w:tc>
          <w:tcPr>
            <w:tcW w:w="65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lang w:bidi="ar"/>
              </w:rPr>
              <w:t>耕地、园地、坑塘水面为30年，林地70年</w:t>
            </w:r>
          </w:p>
        </w:tc>
      </w:tr>
      <w:tr>
        <w:tblPrEx>
          <w:tblLayout w:type="fixed"/>
          <w:tblCellMar>
            <w:top w:w="0" w:type="dxa"/>
            <w:left w:w="0" w:type="dxa"/>
            <w:bottom w:w="0" w:type="dxa"/>
            <w:right w:w="0" w:type="dxa"/>
          </w:tblCellMar>
        </w:tblPrEx>
        <w:trPr>
          <w:trHeight w:val="270" w:hRule="atLeast"/>
        </w:trPr>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b/>
                <w:bCs/>
                <w:color w:val="000000"/>
                <w:sz w:val="24"/>
              </w:rPr>
            </w:pPr>
            <w:r>
              <w:rPr>
                <w:rFonts w:ascii="Times New Roman" w:hAnsi="Times New Roman" w:eastAsia="仿宋" w:cs="Times New Roman"/>
                <w:b/>
                <w:bCs/>
                <w:color w:val="000000"/>
                <w:kern w:val="0"/>
                <w:sz w:val="24"/>
                <w:lang w:bidi="ar"/>
              </w:rPr>
              <w:t>基准作物</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lang w:bidi="ar"/>
              </w:rPr>
              <w:t>耕地</w:t>
            </w:r>
          </w:p>
        </w:tc>
        <w:tc>
          <w:tcPr>
            <w:tcW w:w="5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lang w:bidi="ar"/>
              </w:rPr>
              <w:t>早稻-晚稻（水田），春花生-秋甘薯（旱地）</w:t>
            </w:r>
          </w:p>
        </w:tc>
      </w:tr>
      <w:tr>
        <w:tblPrEx>
          <w:tblLayout w:type="fixed"/>
          <w:tblCellMar>
            <w:top w:w="0" w:type="dxa"/>
            <w:left w:w="0" w:type="dxa"/>
            <w:bottom w:w="0" w:type="dxa"/>
            <w:right w:w="0" w:type="dxa"/>
          </w:tblCellMar>
        </w:tblPrEx>
        <w:trPr>
          <w:trHeight w:val="270" w:hRule="atLeast"/>
        </w:trPr>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仿宋" w:cs="Times New Roman"/>
                <w:b/>
                <w:bCs/>
                <w:color w:val="000000"/>
                <w:sz w:val="24"/>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lang w:bidi="ar"/>
              </w:rPr>
              <w:t>园地</w:t>
            </w:r>
          </w:p>
        </w:tc>
        <w:tc>
          <w:tcPr>
            <w:tcW w:w="5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lang w:bidi="ar"/>
              </w:rPr>
              <w:t>柑橘、猕猴桃</w:t>
            </w:r>
          </w:p>
        </w:tc>
      </w:tr>
      <w:tr>
        <w:tblPrEx>
          <w:tblLayout w:type="fixed"/>
          <w:tblCellMar>
            <w:top w:w="0" w:type="dxa"/>
            <w:left w:w="0" w:type="dxa"/>
            <w:bottom w:w="0" w:type="dxa"/>
            <w:right w:w="0" w:type="dxa"/>
          </w:tblCellMar>
        </w:tblPrEx>
        <w:trPr>
          <w:trHeight w:val="270" w:hRule="atLeast"/>
        </w:trPr>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仿宋" w:cs="Times New Roman"/>
                <w:b/>
                <w:bCs/>
                <w:color w:val="000000"/>
                <w:sz w:val="24"/>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lang w:bidi="ar"/>
              </w:rPr>
              <w:t>林地</w:t>
            </w:r>
          </w:p>
        </w:tc>
        <w:tc>
          <w:tcPr>
            <w:tcW w:w="5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lang w:bidi="ar"/>
              </w:rPr>
              <w:t>松、杂木</w:t>
            </w:r>
          </w:p>
        </w:tc>
      </w:tr>
      <w:tr>
        <w:tblPrEx>
          <w:tblLayout w:type="fixed"/>
          <w:tblCellMar>
            <w:top w:w="0" w:type="dxa"/>
            <w:left w:w="0" w:type="dxa"/>
            <w:bottom w:w="0" w:type="dxa"/>
            <w:right w:w="0" w:type="dxa"/>
          </w:tblCellMar>
        </w:tblPrEx>
        <w:trPr>
          <w:trHeight w:val="90" w:hRule="atLeast"/>
        </w:trPr>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仿宋" w:cs="Times New Roman"/>
                <w:b/>
                <w:bCs/>
                <w:color w:val="000000"/>
                <w:sz w:val="24"/>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lang w:bidi="ar"/>
              </w:rPr>
              <w:t>坑塘水面</w:t>
            </w:r>
          </w:p>
        </w:tc>
        <w:tc>
          <w:tcPr>
            <w:tcW w:w="52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lang w:bidi="ar"/>
              </w:rPr>
              <w:t>鲢鱼、鲫鱼、青鱼、皖鱼</w:t>
            </w:r>
          </w:p>
        </w:tc>
      </w:tr>
      <w:tr>
        <w:tblPrEx>
          <w:tblLayout w:type="fixed"/>
          <w:tblCellMar>
            <w:top w:w="0" w:type="dxa"/>
            <w:left w:w="0" w:type="dxa"/>
            <w:bottom w:w="0" w:type="dxa"/>
            <w:right w:w="0" w:type="dxa"/>
          </w:tblCellMar>
        </w:tblPrEx>
        <w:trPr>
          <w:trHeight w:val="468" w:hRule="atLeast"/>
        </w:trPr>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b/>
                <w:bCs/>
                <w:color w:val="000000"/>
                <w:sz w:val="24"/>
              </w:rPr>
            </w:pPr>
            <w:r>
              <w:rPr>
                <w:rFonts w:ascii="Times New Roman" w:hAnsi="Times New Roman" w:eastAsia="仿宋" w:cs="Times New Roman"/>
                <w:b/>
                <w:bCs/>
                <w:color w:val="000000"/>
                <w:kern w:val="0"/>
                <w:sz w:val="24"/>
                <w:lang w:bidi="ar"/>
              </w:rPr>
              <w:t>基本设施状况</w:t>
            </w:r>
          </w:p>
        </w:tc>
        <w:tc>
          <w:tcPr>
            <w:tcW w:w="65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lang w:bidi="ar"/>
              </w:rPr>
              <w:t>按照所在区域具有普遍性、适宜性的种植制度下，宗地外道路通达且有水源保障、宗地内平整、大小适中、形状规则、有基本的排水与灌溉设施且田间道路密度适中。</w:t>
            </w:r>
          </w:p>
        </w:tc>
      </w:tr>
      <w:tr>
        <w:tblPrEx>
          <w:tblLayout w:type="fixed"/>
          <w:tblCellMar>
            <w:top w:w="0" w:type="dxa"/>
            <w:left w:w="0" w:type="dxa"/>
            <w:bottom w:w="0" w:type="dxa"/>
            <w:right w:w="0" w:type="dxa"/>
          </w:tblCellMar>
        </w:tblPrEx>
        <w:trPr>
          <w:trHeight w:val="468" w:hRule="atLeast"/>
        </w:trPr>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仿宋" w:cs="Times New Roman"/>
                <w:b/>
                <w:bCs/>
                <w:color w:val="000000"/>
                <w:sz w:val="24"/>
              </w:rPr>
            </w:pPr>
          </w:p>
        </w:tc>
        <w:tc>
          <w:tcPr>
            <w:tcW w:w="65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rPr>
                <w:rFonts w:ascii="Times New Roman" w:hAnsi="Times New Roman" w:eastAsia="仿宋" w:cs="Times New Roman"/>
                <w:color w:val="000000"/>
                <w:sz w:val="24"/>
              </w:rPr>
            </w:pPr>
          </w:p>
        </w:tc>
      </w:tr>
      <w:tr>
        <w:tblPrEx>
          <w:tblLayout w:type="fixed"/>
          <w:tblCellMar>
            <w:top w:w="0" w:type="dxa"/>
            <w:left w:w="0" w:type="dxa"/>
            <w:bottom w:w="0" w:type="dxa"/>
            <w:right w:w="0" w:type="dxa"/>
          </w:tblCellMar>
        </w:tblPrEx>
        <w:trPr>
          <w:trHeight w:val="468" w:hRule="atLeast"/>
        </w:trPr>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仿宋" w:cs="Times New Roman"/>
                <w:b/>
                <w:bCs/>
                <w:color w:val="000000"/>
                <w:sz w:val="24"/>
              </w:rPr>
            </w:pPr>
          </w:p>
        </w:tc>
        <w:tc>
          <w:tcPr>
            <w:tcW w:w="65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rPr>
                <w:rFonts w:ascii="Times New Roman" w:hAnsi="Times New Roman" w:eastAsia="仿宋" w:cs="Times New Roman"/>
                <w:color w:val="000000"/>
                <w:sz w:val="24"/>
              </w:rPr>
            </w:pPr>
          </w:p>
        </w:tc>
      </w:tr>
      <w:tr>
        <w:tblPrEx>
          <w:tblLayout w:type="fixed"/>
          <w:tblCellMar>
            <w:top w:w="0" w:type="dxa"/>
            <w:left w:w="0" w:type="dxa"/>
            <w:bottom w:w="0" w:type="dxa"/>
            <w:right w:w="0" w:type="dxa"/>
          </w:tblCellMar>
        </w:tblPrEx>
        <w:trPr>
          <w:trHeight w:val="468" w:hRule="atLeast"/>
        </w:trPr>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仿宋" w:cs="Times New Roman"/>
                <w:b/>
                <w:bCs/>
                <w:color w:val="000000"/>
                <w:sz w:val="24"/>
              </w:rPr>
            </w:pPr>
          </w:p>
        </w:tc>
        <w:tc>
          <w:tcPr>
            <w:tcW w:w="65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lang w:bidi="ar"/>
              </w:rPr>
              <w:t>按照所在区域具有普遍性、适宜性的种植制度下，宗地外道路通达且有水源保障、宗地内有基本的排水与灌溉设施。</w:t>
            </w:r>
          </w:p>
        </w:tc>
      </w:tr>
      <w:tr>
        <w:tblPrEx>
          <w:tblLayout w:type="fixed"/>
          <w:tblCellMar>
            <w:top w:w="0" w:type="dxa"/>
            <w:left w:w="0" w:type="dxa"/>
            <w:bottom w:w="0" w:type="dxa"/>
            <w:right w:w="0" w:type="dxa"/>
          </w:tblCellMar>
        </w:tblPrEx>
        <w:trPr>
          <w:trHeight w:val="468" w:hRule="atLeast"/>
        </w:trPr>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仿宋" w:cs="Times New Roman"/>
                <w:b/>
                <w:bCs/>
                <w:color w:val="000000"/>
                <w:sz w:val="24"/>
              </w:rPr>
            </w:pPr>
          </w:p>
        </w:tc>
        <w:tc>
          <w:tcPr>
            <w:tcW w:w="65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rPr>
                <w:rFonts w:ascii="Times New Roman" w:hAnsi="Times New Roman" w:eastAsia="仿宋" w:cs="Times New Roman"/>
                <w:color w:val="000000"/>
                <w:sz w:val="24"/>
              </w:rPr>
            </w:pPr>
          </w:p>
        </w:tc>
      </w:tr>
      <w:tr>
        <w:tblPrEx>
          <w:tblLayout w:type="fixed"/>
          <w:tblCellMar>
            <w:top w:w="0" w:type="dxa"/>
            <w:left w:w="0" w:type="dxa"/>
            <w:bottom w:w="0" w:type="dxa"/>
            <w:right w:w="0" w:type="dxa"/>
          </w:tblCellMar>
        </w:tblPrEx>
        <w:trPr>
          <w:trHeight w:val="468" w:hRule="atLeast"/>
        </w:trPr>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仿宋" w:cs="Times New Roman"/>
                <w:b/>
                <w:bCs/>
                <w:color w:val="000000"/>
                <w:sz w:val="24"/>
              </w:rPr>
            </w:pPr>
          </w:p>
        </w:tc>
        <w:tc>
          <w:tcPr>
            <w:tcW w:w="65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rPr>
                <w:rFonts w:ascii="Times New Roman" w:hAnsi="Times New Roman" w:eastAsia="仿宋" w:cs="Times New Roman"/>
                <w:color w:val="000000"/>
                <w:sz w:val="24"/>
              </w:rPr>
            </w:pPr>
          </w:p>
        </w:tc>
      </w:tr>
      <w:tr>
        <w:tblPrEx>
          <w:tblLayout w:type="fixed"/>
          <w:tblCellMar>
            <w:top w:w="0" w:type="dxa"/>
            <w:left w:w="0" w:type="dxa"/>
            <w:bottom w:w="0" w:type="dxa"/>
            <w:right w:w="0" w:type="dxa"/>
          </w:tblCellMar>
        </w:tblPrEx>
        <w:trPr>
          <w:trHeight w:val="468" w:hRule="atLeast"/>
        </w:trPr>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仿宋" w:cs="Times New Roman"/>
                <w:b/>
                <w:bCs/>
                <w:color w:val="000000"/>
                <w:sz w:val="24"/>
              </w:rPr>
            </w:pPr>
          </w:p>
        </w:tc>
        <w:tc>
          <w:tcPr>
            <w:tcW w:w="65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lang w:bidi="ar"/>
              </w:rPr>
              <w:t>按照所在区域具有普遍性、适宜性的种植制度下，宗地外道路通达。</w:t>
            </w:r>
          </w:p>
        </w:tc>
      </w:tr>
      <w:tr>
        <w:tblPrEx>
          <w:tblLayout w:type="fixed"/>
          <w:tblCellMar>
            <w:top w:w="0" w:type="dxa"/>
            <w:left w:w="0" w:type="dxa"/>
            <w:bottom w:w="0" w:type="dxa"/>
            <w:right w:w="0" w:type="dxa"/>
          </w:tblCellMar>
        </w:tblPrEx>
        <w:trPr>
          <w:trHeight w:val="468" w:hRule="atLeast"/>
        </w:trPr>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仿宋" w:cs="Times New Roman"/>
                <w:b/>
                <w:bCs/>
                <w:color w:val="000000"/>
                <w:sz w:val="24"/>
              </w:rPr>
            </w:pPr>
          </w:p>
        </w:tc>
        <w:tc>
          <w:tcPr>
            <w:tcW w:w="65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rPr>
                <w:rFonts w:ascii="Times New Roman" w:hAnsi="Times New Roman" w:eastAsia="仿宋" w:cs="Times New Roman"/>
                <w:color w:val="000000"/>
                <w:sz w:val="24"/>
              </w:rPr>
            </w:pPr>
          </w:p>
        </w:tc>
      </w:tr>
      <w:tr>
        <w:tblPrEx>
          <w:tblLayout w:type="fixed"/>
          <w:tblCellMar>
            <w:top w:w="0" w:type="dxa"/>
            <w:left w:w="0" w:type="dxa"/>
            <w:bottom w:w="0" w:type="dxa"/>
            <w:right w:w="0" w:type="dxa"/>
          </w:tblCellMar>
        </w:tblPrEx>
        <w:trPr>
          <w:trHeight w:val="468" w:hRule="atLeast"/>
        </w:trPr>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仿宋" w:cs="Times New Roman"/>
                <w:b/>
                <w:bCs/>
                <w:color w:val="000000"/>
                <w:sz w:val="24"/>
              </w:rPr>
            </w:pPr>
          </w:p>
        </w:tc>
        <w:tc>
          <w:tcPr>
            <w:tcW w:w="65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lang w:bidi="ar"/>
              </w:rPr>
              <w:t>按照所在区域具有普遍性、适宜性的养殖制度下，宗地外道路通达且有水源保障、宗地内实现通电、有基本的排水与引水设施、大小适中、形状规则。</w:t>
            </w:r>
          </w:p>
        </w:tc>
      </w:tr>
      <w:tr>
        <w:tblPrEx>
          <w:tblLayout w:type="fixed"/>
          <w:tblCellMar>
            <w:top w:w="0" w:type="dxa"/>
            <w:left w:w="0" w:type="dxa"/>
            <w:bottom w:w="0" w:type="dxa"/>
            <w:right w:w="0" w:type="dxa"/>
          </w:tblCellMar>
        </w:tblPrEx>
        <w:trPr>
          <w:trHeight w:val="468" w:hRule="atLeast"/>
        </w:trPr>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仿宋" w:cs="Times New Roman"/>
                <w:b/>
                <w:bCs/>
                <w:color w:val="000000"/>
                <w:sz w:val="24"/>
              </w:rPr>
            </w:pPr>
          </w:p>
        </w:tc>
        <w:tc>
          <w:tcPr>
            <w:tcW w:w="65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rPr>
                <w:rFonts w:ascii="Times New Roman" w:hAnsi="Times New Roman" w:eastAsia="仿宋" w:cs="Times New Roman"/>
                <w:color w:val="000000"/>
                <w:sz w:val="24"/>
              </w:rPr>
            </w:pPr>
          </w:p>
        </w:tc>
      </w:tr>
      <w:tr>
        <w:tblPrEx>
          <w:tblLayout w:type="fixed"/>
          <w:tblCellMar>
            <w:top w:w="0" w:type="dxa"/>
            <w:left w:w="0" w:type="dxa"/>
            <w:bottom w:w="0" w:type="dxa"/>
            <w:right w:w="0" w:type="dxa"/>
          </w:tblCellMar>
        </w:tblPrEx>
        <w:trPr>
          <w:trHeight w:val="468" w:hRule="atLeast"/>
        </w:trPr>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jc w:val="center"/>
              <w:rPr>
                <w:rFonts w:ascii="Times New Roman" w:hAnsi="Times New Roman" w:eastAsia="仿宋" w:cs="Times New Roman"/>
                <w:b/>
                <w:bCs/>
                <w:color w:val="000000"/>
                <w:sz w:val="24"/>
              </w:rPr>
            </w:pPr>
          </w:p>
        </w:tc>
        <w:tc>
          <w:tcPr>
            <w:tcW w:w="65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360" w:lineRule="auto"/>
              <w:rPr>
                <w:rFonts w:ascii="Times New Roman" w:hAnsi="Times New Roman" w:eastAsia="仿宋" w:cs="Times New Roman"/>
                <w:color w:val="000000"/>
                <w:sz w:val="24"/>
              </w:rPr>
            </w:pPr>
          </w:p>
        </w:tc>
      </w:tr>
      <w:tr>
        <w:tblPrEx>
          <w:tblLayout w:type="fixed"/>
          <w:tblCellMar>
            <w:top w:w="0" w:type="dxa"/>
            <w:left w:w="0" w:type="dxa"/>
            <w:bottom w:w="0" w:type="dxa"/>
            <w:right w:w="0" w:type="dxa"/>
          </w:tblCellMar>
        </w:tblPrEx>
        <w:trPr>
          <w:trHeight w:val="270" w:hRule="atLeast"/>
        </w:trPr>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b/>
                <w:bCs/>
                <w:color w:val="000000"/>
                <w:sz w:val="24"/>
              </w:rPr>
            </w:pPr>
            <w:r>
              <w:rPr>
                <w:rFonts w:ascii="Times New Roman" w:hAnsi="Times New Roman" w:eastAsia="仿宋" w:cs="Times New Roman"/>
                <w:b/>
                <w:bCs/>
                <w:color w:val="000000"/>
                <w:kern w:val="0"/>
                <w:sz w:val="24"/>
                <w:lang w:bidi="ar"/>
              </w:rPr>
              <w:t>估价期日</w:t>
            </w:r>
          </w:p>
        </w:tc>
        <w:tc>
          <w:tcPr>
            <w:tcW w:w="65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lang w:bidi="ar"/>
              </w:rPr>
              <w:t>2020年1月1日</w:t>
            </w: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0" w:name="_GoBack"/>
    <w:bookmarkEnd w:id="0"/>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AA4A4"/>
    <w:multiLevelType w:val="singleLevel"/>
    <w:tmpl w:val="146AA4A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302"/>
    <w:rsid w:val="000F403D"/>
    <w:rsid w:val="00355B07"/>
    <w:rsid w:val="008D6C11"/>
    <w:rsid w:val="00D30FB1"/>
    <w:rsid w:val="00E45302"/>
    <w:rsid w:val="4CC8445B"/>
    <w:rsid w:val="79FB4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rFonts w:asciiTheme="minorHAnsi" w:hAnsiTheme="minorHAnsi" w:eastAsiaTheme="minorEastAsia" w:cstheme="minorBidi"/>
      <w:kern w:val="2"/>
      <w:sz w:val="18"/>
      <w:szCs w:val="18"/>
    </w:rPr>
  </w:style>
  <w:style w:type="character" w:customStyle="1" w:styleId="7">
    <w:name w:val="页脚 Char"/>
    <w:basedOn w:val="4"/>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261</Words>
  <Characters>1494</Characters>
  <Lines>12</Lines>
  <Paragraphs>3</Paragraphs>
  <TotalTime>4</TotalTime>
  <ScaleCrop>false</ScaleCrop>
  <LinksUpToDate>false</LinksUpToDate>
  <CharactersWithSpaces>1752</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2020-09-02T02:48:00Z</dcterms:created>
  <dc:creator>Administrator</dc:creator>
  <cp:lastModifiedBy>SL</cp:lastModifiedBy>
  <dcterms:modified xsi:type="dcterms:W3CDTF">2020-09-24T08:45:53Z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