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783" w:firstLineChars="150"/>
        <w:jc w:val="center"/>
        <w:rPr>
          <w:rFonts w:hint="eastAsia" w:ascii="宋体" w:hAnsi="宋体"/>
          <w:b/>
          <w:sz w:val="36"/>
          <w:szCs w:val="36"/>
          <w:lang w:eastAsia="zh-CN"/>
        </w:rPr>
      </w:pPr>
      <w:r>
        <w:rPr>
          <w:rFonts w:hint="eastAsia" w:ascii="宋体" w:hAnsi="宋体"/>
          <w:b/>
          <w:sz w:val="52"/>
          <w:szCs w:val="52"/>
        </w:rPr>
        <w:t>和平县城市</w:t>
      </w:r>
      <w:r>
        <w:rPr>
          <w:rFonts w:hint="eastAsia" w:ascii="宋体" w:hAnsi="宋体"/>
          <w:b/>
          <w:sz w:val="52"/>
          <w:szCs w:val="52"/>
          <w:lang w:eastAsia="zh-CN"/>
        </w:rPr>
        <w:t>管理局</w:t>
      </w:r>
      <w:bookmarkStart w:id="0" w:name="_GoBack"/>
      <w:bookmarkEnd w:id="0"/>
    </w:p>
    <w:p>
      <w:pPr>
        <w:ind w:firstLine="660" w:firstLineChars="150"/>
        <w:jc w:val="center"/>
        <w:rPr>
          <w:rFonts w:hint="eastAsia" w:ascii="方正小标宋简体" w:eastAsia="方正小标宋简体"/>
          <w:sz w:val="44"/>
          <w:szCs w:val="44"/>
          <w:lang w:eastAsia="zh-CN"/>
        </w:rPr>
      </w:pPr>
      <w:r>
        <w:rPr>
          <w:rFonts w:hint="eastAsia" w:ascii="方正小标宋简体" w:eastAsia="方正小标宋简体"/>
          <w:sz w:val="44"/>
          <w:szCs w:val="44"/>
        </w:rPr>
        <w:t>部门决算公开</w:t>
      </w:r>
      <w:r>
        <w:rPr>
          <w:rFonts w:hint="eastAsia" w:ascii="方正小标宋简体" w:eastAsia="方正小标宋简体"/>
          <w:sz w:val="44"/>
          <w:szCs w:val="44"/>
          <w:lang w:eastAsia="zh-CN"/>
        </w:rPr>
        <w:t>情况说明</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和平县城市管理局概况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和平县城市管理局决算表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第三部分   和平县城市管理局决算情况说明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和平县城市管理局概况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和平县城市管理局是主管</w:t>
      </w:r>
      <w:r>
        <w:rPr>
          <w:rFonts w:hint="eastAsia" w:ascii="仿宋_GB2312" w:eastAsia="仿宋_GB2312"/>
          <w:b/>
          <w:sz w:val="32"/>
          <w:szCs w:val="32"/>
        </w:rPr>
        <w:t>城市管理</w:t>
      </w:r>
      <w:r>
        <w:rPr>
          <w:rFonts w:hint="eastAsia" w:ascii="仿宋_GB2312" w:eastAsia="仿宋_GB2312"/>
          <w:sz w:val="32"/>
          <w:szCs w:val="32"/>
        </w:rPr>
        <w:t>工作的职能部门。主要职责是管理</w:t>
      </w:r>
      <w:r>
        <w:rPr>
          <w:rFonts w:hint="eastAsia" w:ascii="仿宋_GB2312" w:hAnsi="仿宋" w:eastAsia="仿宋_GB2312" w:cs="宋体"/>
          <w:color w:val="333333"/>
          <w:kern w:val="0"/>
          <w:sz w:val="32"/>
          <w:szCs w:val="32"/>
        </w:rPr>
        <w:t>城市市容市貌、环境卫生、园林绿化、城市市政道路、路灯、燃气、供水等公共事务管理和审批职能</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按照部门决算编报要求，纳入城市管理局决算编报范围的单位共5个，包括局（园林所、路灯所、城监大队、环卫所）本级和下属共5个预算单位</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和平县城市管理局决算表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第三部分   和平县城市管理局决算情况说明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一、2017年度收入支出决算总体情况说明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城市管理局2017年度总收入5212.75万元，其中本年收入5212.75万元。具体情况如下：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1．财政拨款收入 5212.75万元，比上年决算数增加1213.07万元，增长23 %。主要原因：城市市政工程及县城路灯增加，</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2．上级补助收入 0万元，与上年决算数持平，</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3．事业收入 0万元，与上年决算数持平</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4．经营收入 0万元，与上年决算数持平</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5．其他收入 0万元，与上年决算数持平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（二）2017年度支出总体情况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城市管理局2017年度总支出 5212.75万元，其中本年支出 5212.75万元。具体情况如下：</w:t>
      </w:r>
    </w:p>
    <w:p>
      <w:pPr>
        <w:spacing w:line="640" w:lineRule="exact"/>
        <w:ind w:firstLine="645"/>
        <w:rPr>
          <w:rFonts w:ascii="仿宋_GB2312"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一般公共服务（类）支出 5212.75万元，主要用于社会保险和就业支出；抚恤金；节能环保支出；城乡社区事务支出；环境卫生支出；城市公共设施支出；住房保障支出等，比上年决算数增加913.07 万元，增长17.52%，主要原因是县城市政工程及县城路灯和城市基础设施配套支出增加。</w:t>
      </w:r>
    </w:p>
    <w:p>
      <w:pPr>
        <w:spacing w:line="640" w:lineRule="exact"/>
        <w:ind w:firstLine="645"/>
        <w:rPr>
          <w:rFonts w:ascii="仿宋_GB2312" w:eastAsia="仿宋_GB2312"/>
          <w:sz w:val="32"/>
          <w:szCs w:val="32"/>
        </w:rPr>
      </w:pPr>
      <w:r>
        <w:rPr>
          <w:rFonts w:hint="eastAsia" w:ascii="仿宋_GB2312" w:eastAsia="仿宋_GB2312"/>
          <w:sz w:val="32"/>
          <w:szCs w:val="32"/>
        </w:rPr>
        <w:t>2.教育（类）支出  0万元，与上年决算数持平。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二、2017年度财政拨款收入支出总表说明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（一）2017年度财政拨款收入说明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城市管理局2017年度财政拨款收入合计 5212.75万元。其中：一般公共预算财政拨款收入 5000.83万元，比年初预算数增加827.25万元，增长15.87 %；主要原因是县城市政工程及县城路灯增加；政府性基金预算财政拨款收入 211.92万元，比年初预算数增加211.92万元，增长100 %；主要原因是增加城市基础设施配套安排支出。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（二）2017年度财政拨款支出说明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和平县城市管理局2017年度财政拨款支出合计5212.75 万元。其中：一般公共预算财政拨款支出 5000.83万元，比年初预算数增加827.25 万元，增长15.87 %；主要原因是；县城市政工程及县城路灯增加；政府性基金预算财政拨款支出 211.92万元，比年初预算数增加211.92 万元，增长100 %；主要原因是增加城市基础设施配套安排支出。</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rPr>
        <w:t>一般公共城乡社区服务5000.83万元，主要用于社会保险和就业支出；抚恤金；节能环保支出；城乡社区事务支出；环境卫生支出；城市公共设施支出；住房保障支出等。</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三、2017年度财政拨款“三公”经费支出决算情况说明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eastAsia="仿宋_GB2312"/>
          <w:sz w:val="32"/>
          <w:szCs w:val="32"/>
        </w:rPr>
        <w:t>和平县城市管理局2017年度“</w:t>
      </w:r>
      <w:r>
        <w:rPr>
          <w:rFonts w:hint="eastAsia" w:ascii="仿宋_GB2312" w:hAnsi="宋体" w:eastAsia="仿宋_GB2312"/>
          <w:sz w:val="32"/>
          <w:szCs w:val="32"/>
        </w:rPr>
        <w:t>三公”经费财政拨款支出决算为49.27 万元，完成预算 18.67万元的263.9 %。其中：</w:t>
      </w:r>
      <w:r>
        <w:rPr>
          <w:rFonts w:hint="eastAsia" w:ascii="仿宋_GB2312" w:eastAsia="仿宋_GB2312"/>
          <w:sz w:val="32"/>
          <w:szCs w:val="32"/>
        </w:rPr>
        <w:t>因公出国（境）费支出决算为 0 万元，完成预算 0万元的 0%；公务用车购置及运行维护费支出决算为  43.2万元，完成预算 12.6万元的 342.86%；公务接待费支出决算为  6.07万元，完成预算 6.07万元的 100%。2017年度“三公”经费支出决算大于预算数的主要原因是县城市管理车辆及执法车辆费用增加。</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与上年相比，2017年度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三公”经费财政拨款支出决算数比上年增加30.6万元，增长）62.11%。其中：</w:t>
      </w:r>
      <w:r>
        <w:rPr>
          <w:rFonts w:hint="eastAsia" w:ascii="仿宋_GB2312" w:eastAsia="仿宋_GB2312"/>
          <w:sz w:val="32"/>
          <w:szCs w:val="32"/>
        </w:rPr>
        <w:t>因公出国（境）费支出决算减少（增加） 0万元，</w:t>
      </w:r>
      <w:r>
        <w:rPr>
          <w:rFonts w:hint="eastAsia" w:ascii="仿宋_GB2312" w:hAnsi="宋体" w:eastAsia="仿宋_GB2312"/>
          <w:sz w:val="32"/>
          <w:szCs w:val="32"/>
        </w:rPr>
        <w:t>下降（增长）0 %；</w:t>
      </w:r>
      <w:r>
        <w:rPr>
          <w:rFonts w:hint="eastAsia" w:ascii="仿宋_GB2312" w:eastAsia="仿宋_GB2312"/>
          <w:sz w:val="32"/>
          <w:szCs w:val="32"/>
        </w:rPr>
        <w:t>公务用车购置及运行维护费支出决算增加）30.6万元，</w:t>
      </w:r>
      <w:r>
        <w:rPr>
          <w:rFonts w:hint="eastAsia" w:ascii="仿宋_GB2312" w:hAnsi="宋体" w:eastAsia="仿宋_GB2312"/>
          <w:sz w:val="32"/>
          <w:szCs w:val="32"/>
        </w:rPr>
        <w:t>增长62.11 %；</w:t>
      </w:r>
      <w:r>
        <w:rPr>
          <w:rFonts w:hint="eastAsia" w:ascii="仿宋_GB2312" w:eastAsia="仿宋_GB2312"/>
          <w:sz w:val="32"/>
          <w:szCs w:val="32"/>
        </w:rPr>
        <w:t>公务接待费支出决算与上年持平</w:t>
      </w:r>
      <w:r>
        <w:rPr>
          <w:rFonts w:hint="eastAsia" w:ascii="仿宋_GB2312" w:hAnsi="宋体" w:eastAsia="仿宋_GB2312"/>
          <w:sz w:val="32"/>
          <w:szCs w:val="32"/>
        </w:rPr>
        <w:t>。</w:t>
      </w:r>
      <w:r>
        <w:rPr>
          <w:rFonts w:hint="eastAsia" w:ascii="仿宋_GB2312" w:eastAsia="仿宋_GB2312"/>
          <w:sz w:val="32"/>
          <w:szCs w:val="32"/>
        </w:rPr>
        <w:t>因公出国（境）费支出减少（增加）的主要原因是……；公务用车购置及运行维护费支出减少（增加）的主要原因是城市管理车辆及城市执法车辆费用增加；公务接待费支出与上年持平。</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2017年</w:t>
      </w:r>
      <w:r>
        <w:rPr>
          <w:rFonts w:hint="eastAsia" w:ascii="仿宋_GB2312" w:eastAsia="仿宋_GB2312"/>
          <w:sz w:val="32"/>
          <w:szCs w:val="32"/>
        </w:rPr>
        <w:t>“三公”经费财政拨款支出决算中，因公出国（境）费 0万元，占 0%；公务用车购置及运行维护费支出 43.2万元，占 342.86%；公务接待费支出 6.07万元，占100 %。具体情况如下：</w:t>
      </w:r>
    </w:p>
    <w:p>
      <w:pPr>
        <w:ind w:firstLine="640" w:firstLineChars="200"/>
        <w:rPr>
          <w:rFonts w:ascii="仿宋_GB2312" w:eastAsia="仿宋_GB2312"/>
          <w:sz w:val="32"/>
          <w:szCs w:val="32"/>
        </w:rPr>
      </w:pPr>
      <w:r>
        <w:rPr>
          <w:rFonts w:hint="eastAsia" w:ascii="仿宋_GB2312" w:eastAsia="仿宋_GB2312"/>
          <w:sz w:val="32"/>
          <w:szCs w:val="32"/>
        </w:rPr>
        <w:t>1.因公出国（境）费支出 0 万元。全年使用财政拨款安排局（部、委、办）机关及下属0个单位出国团组 0 个、累计0人次。开支内容包括：（1）参加0会议支出  0万元，主要用于……；（2）出国谈判、工作磋商支出 0 万元，主要用于……；（3）境外业务培训及考察 0 万元，主要用于……。</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  43.2万元，其中：公务用车购置支出为0 万元，2017</w:t>
      </w:r>
      <w:r>
        <w:rPr>
          <w:rFonts w:ascii="仿宋_GB2312" w:eastAsia="仿宋_GB2312"/>
          <w:sz w:val="32"/>
          <w:szCs w:val="32"/>
        </w:rPr>
        <w:t>年</w:t>
      </w:r>
      <w:r>
        <w:rPr>
          <w:rFonts w:hint="eastAsia" w:ascii="仿宋_GB2312" w:eastAsia="仿宋_GB2312"/>
          <w:sz w:val="32"/>
          <w:szCs w:val="32"/>
        </w:rPr>
        <w:t>公务用车购置数</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 xml:space="preserve"> 辆，主要包括……；公务用车运行及维护支出 43.2万元，2017年局（环卫所，园林所，路灯所，城监大队）机关及下属4个单位公务用车保有量为 10 辆，主要用于城市管理及城管执法用车。</w:t>
      </w:r>
    </w:p>
    <w:p>
      <w:pPr>
        <w:ind w:firstLine="640" w:firstLineChars="200"/>
        <w:rPr>
          <w:rFonts w:ascii="仿宋_GB2312" w:eastAsia="仿宋_GB2312"/>
          <w:sz w:val="32"/>
          <w:szCs w:val="32"/>
        </w:rPr>
      </w:pPr>
      <w:r>
        <w:rPr>
          <w:rFonts w:hint="eastAsia" w:ascii="仿宋_GB2312" w:eastAsia="仿宋_GB2312"/>
          <w:sz w:val="32"/>
          <w:szCs w:val="32"/>
        </w:rPr>
        <w:t>3.公务接待费支出 6.07 万元，主要用于上级单位检查和相关单位交流工作等方面的接待……。2017年，局（所，队）机关及下属4个单位共接待国外来访团组 0 个，来访外宾0  人次，主要包括……；发生国内接待 55次，接待人数共 650 人。主要包括生活垃圾场检查来人及各县区交流学习来人。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rPr>
        <w:t>2017年本部门机关运行经费支出3851.15万元（与部门决算中行政单位和参照公务员法管理的事业单位一般公共预算财政拨款基本支出中公用经费之和保持一致），比上年增加280.16万元，增长7.85%。主要原因是人员工资增加。</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2017年本部门政府采购支出总额59.33万元，其中：政府采购货物支出59.33万元、政府采购工程支出0万元、政府采购服务支出0万元。授予中小企业合同金额0万元，占政府采购支出总额的0%，其中：授予小微企业合同金额0万元，占政府采购支出总额的0%。</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截至2017年12月31日，本部门共有车辆39辆，其中，一般公务用车2辆（用于机要通信、应急工作）、一般执法执勤用车0辆、特种专业技术用车0辆、其他用车37辆，其他用车主要是……；</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rPr>
        <w:t>0台（套），单价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rPr>
        <w:t>0台（套）。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r>
        <w:rPr>
          <w:rFonts w:hint="eastAsia" w:ascii="仿宋_GB2312" w:eastAsia="仿宋_GB2312"/>
          <w:sz w:val="32"/>
          <w:szCs w:val="32"/>
        </w:rPr>
        <w:t>根据财政预算管理要求，我部门组织对2017年度一般公共预算项目支出全面开展绩效自评。其中，一级项目0个，二级项目0个，共涉及资金0万元，自评覆盖率达到0%。</w:t>
      </w:r>
    </w:p>
    <w:p>
      <w:pPr>
        <w:snapToGrid w:val="0"/>
        <w:spacing w:line="580" w:lineRule="exact"/>
        <w:ind w:firstLine="640"/>
        <w:rPr>
          <w:rFonts w:ascii="仿宋_GB2312" w:eastAsia="仿宋_GB2312"/>
          <w:sz w:val="32"/>
          <w:szCs w:val="32"/>
        </w:rPr>
      </w:pPr>
      <w:r>
        <w:rPr>
          <w:rFonts w:hint="eastAsia" w:ascii="仿宋_GB2312" w:eastAsia="仿宋_GB2312"/>
          <w:sz w:val="32"/>
          <w:szCs w:val="32"/>
        </w:rPr>
        <w:t>组织对“XXXX”等XX个项目进行了绩效评价，涉及一般公共预算支出XX万元。从评价情况来看，XX项目支出绩效情况较为理想或不够理想，达到了或未达到项目申请时设定的各项绩效目标。……（请对预算绩效评价情况进行简单说明）。</w:t>
      </w:r>
    </w:p>
    <w:p>
      <w:pPr>
        <w:snapToGrid w:val="0"/>
        <w:spacing w:line="580" w:lineRule="exact"/>
        <w:ind w:firstLine="640"/>
        <w:rPr>
          <w:rFonts w:ascii="仿宋_GB2312" w:eastAsia="仿宋_GB2312"/>
          <w:sz w:val="32"/>
          <w:szCs w:val="32"/>
        </w:rPr>
      </w:pPr>
      <w:r>
        <w:rPr>
          <w:rFonts w:hint="eastAsia" w:ascii="仿宋_GB2312" w:eastAsia="仿宋_GB2312"/>
          <w:sz w:val="32"/>
          <w:szCs w:val="32"/>
        </w:rPr>
        <w:t>组织对XX个部门（单位）开展整体支出绩效评价试点，涉及一般公共预算支出XX万元。从评价情况来看，XX项目支出绩效情况较为理想或不够理想，达到了或未达到项目申请时设定的各项绩效目标。……（请对整体支出绩效评价情况进行简单说明）。</w:t>
      </w:r>
    </w:p>
    <w:p>
      <w:pPr>
        <w:snapToGrid w:val="0"/>
        <w:spacing w:line="580" w:lineRule="exact"/>
        <w:ind w:firstLine="643"/>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．部门决算中项目绩效自评结果。</w:t>
      </w:r>
      <w:r>
        <w:rPr>
          <w:rFonts w:hint="eastAsia" w:ascii="仿宋_GB2312" w:eastAsia="仿宋_GB2312"/>
          <w:sz w:val="32"/>
          <w:szCs w:val="32"/>
        </w:rPr>
        <w:t>我部门在部门决算中无项目绩效评价工作。</w:t>
      </w:r>
    </w:p>
    <w:p>
      <w:pPr>
        <w:snapToGrid w:val="0"/>
        <w:spacing w:line="580" w:lineRule="exact"/>
        <w:ind w:firstLine="643"/>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．重点项目绩效评价报告。</w:t>
      </w:r>
      <w:r>
        <w:rPr>
          <w:rFonts w:hint="eastAsia" w:ascii="仿宋_GB2312" w:eastAsia="仿宋_GB2312"/>
          <w:sz w:val="32"/>
          <w:szCs w:val="32"/>
        </w:rPr>
        <w:t>我部门在部门决算中无项目绩效评价工作。</w:t>
      </w:r>
    </w:p>
    <w:p>
      <w:pPr>
        <w:snapToGrid w:val="0"/>
        <w:spacing w:line="580" w:lineRule="exact"/>
        <w:ind w:firstLine="64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．其他以部门为主体开展的项目绩效评价报告。</w:t>
      </w:r>
      <w:r>
        <w:rPr>
          <w:rFonts w:hint="eastAsia" w:ascii="仿宋_GB2312" w:eastAsia="仿宋_GB2312"/>
          <w:sz w:val="32"/>
          <w:szCs w:val="32"/>
        </w:rPr>
        <w:t>其他部门在部门决算中无开展以部门为主体项目绩效评价工作。</w:t>
      </w:r>
    </w:p>
    <w:p>
      <w:pPr>
        <w:snapToGrid w:val="0"/>
        <w:spacing w:line="360" w:lineRule="auto"/>
        <w:ind w:firstLine="643"/>
        <w:rPr>
          <w:rFonts w:ascii="仿宋_GB2312" w:eastAsia="仿宋_GB2312"/>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1"/>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BD"/>
    <w:rsid w:val="000176DF"/>
    <w:rsid w:val="0017325B"/>
    <w:rsid w:val="001D7328"/>
    <w:rsid w:val="002B14A3"/>
    <w:rsid w:val="00366361"/>
    <w:rsid w:val="004119E1"/>
    <w:rsid w:val="004131CE"/>
    <w:rsid w:val="00436FBE"/>
    <w:rsid w:val="004A1A94"/>
    <w:rsid w:val="005048AF"/>
    <w:rsid w:val="005B17E7"/>
    <w:rsid w:val="006F492D"/>
    <w:rsid w:val="007E6238"/>
    <w:rsid w:val="008078B5"/>
    <w:rsid w:val="00817440"/>
    <w:rsid w:val="00845E46"/>
    <w:rsid w:val="00856CE4"/>
    <w:rsid w:val="009B19BD"/>
    <w:rsid w:val="009E6EBD"/>
    <w:rsid w:val="00A32100"/>
    <w:rsid w:val="00A9285A"/>
    <w:rsid w:val="00BA50B1"/>
    <w:rsid w:val="00BD2B37"/>
    <w:rsid w:val="00C51C85"/>
    <w:rsid w:val="00C51FE0"/>
    <w:rsid w:val="00CE78D3"/>
    <w:rsid w:val="00D449ED"/>
    <w:rsid w:val="00E61028"/>
    <w:rsid w:val="00EC1EB9"/>
    <w:rsid w:val="00ED7C87"/>
    <w:rsid w:val="00FB55A4"/>
    <w:rsid w:val="1A240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702</Words>
  <Characters>4008</Characters>
  <Lines>33</Lines>
  <Paragraphs>9</Paragraphs>
  <TotalTime>1</TotalTime>
  <ScaleCrop>false</ScaleCrop>
  <LinksUpToDate>false</LinksUpToDate>
  <CharactersWithSpaces>4701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摄影爱好者乐园</cp:lastModifiedBy>
  <dcterms:modified xsi:type="dcterms:W3CDTF">2018-08-23T12:59:51Z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